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949"/>
      </w:tblGrid>
      <w:tr w:rsidR="00F92268" w:rsidRPr="00BD1CC1" w14:paraId="626EF7AA" w14:textId="77777777" w:rsidTr="00666C30">
        <w:trPr>
          <w:trHeight w:val="144"/>
          <w:jc w:val="right"/>
        </w:trPr>
        <w:tc>
          <w:tcPr>
            <w:tcW w:w="194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666C30">
        <w:trPr>
          <w:trHeight w:val="378"/>
          <w:jc w:val="right"/>
        </w:trPr>
        <w:tc>
          <w:tcPr>
            <w:tcW w:w="1949" w:type="dxa"/>
            <w:tcBorders>
              <w:top w:val="single" w:sz="4" w:space="0" w:color="auto"/>
              <w:left w:val="single" w:sz="4" w:space="0" w:color="auto"/>
              <w:bottom w:val="single" w:sz="4" w:space="0" w:color="auto"/>
              <w:right w:val="single" w:sz="4" w:space="0" w:color="auto"/>
            </w:tcBorders>
            <w:hideMark/>
          </w:tcPr>
          <w:p w14:paraId="562031BD" w14:textId="22007247" w:rsidR="00F92268" w:rsidRPr="00FF66BF" w:rsidRDefault="00CD1D45" w:rsidP="00F246C7">
            <w:pPr>
              <w:pStyle w:val="RefTableHeader"/>
            </w:pPr>
            <w:r w:rsidRPr="00CD1D45">
              <w:t>1989-A, 1990-A, 2117-A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A3336B4" w:rsidR="004B15BB" w:rsidRPr="00BD1CC1" w:rsidRDefault="007460EE" w:rsidP="007E5C16">
      <w:pPr>
        <w:pStyle w:val="Heading1"/>
      </w:pPr>
      <w:r>
        <w:t>Specialty Guideline Management</w:t>
      </w:r>
      <w:r w:rsidR="008C54D9" w:rsidRPr="00BD1CC1">
        <w:br/>
      </w:r>
      <w:r w:rsidRPr="007460EE">
        <w:t>leuprolide</w:t>
      </w:r>
    </w:p>
    <w:p w14:paraId="78861C92" w14:textId="59CB2909" w:rsidR="00203468" w:rsidRPr="00BD1CC1" w:rsidRDefault="00C64534" w:rsidP="008E0F0D">
      <w:pPr>
        <w:pStyle w:val="Heading2"/>
      </w:pPr>
      <w:r w:rsidRPr="00BD1CC1">
        <w:t xml:space="preserve">Products Referenced by this </w:t>
      </w:r>
      <w:r w:rsidR="00501602" w:rsidRPr="00BD1CC1">
        <w:t>Document</w:t>
      </w:r>
    </w:p>
    <w:p w14:paraId="6DDC5FDA" w14:textId="107B7058" w:rsidR="008137C4" w:rsidRDefault="00D82D85" w:rsidP="00034393">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D435E4">
        <w:t>Over-the-counter</w:t>
      </w:r>
      <w:proofErr w:type="gramEnd"/>
      <w:r w:rsidR="00D435E4">
        <w:t xml:space="preserve"> (</w:t>
      </w:r>
      <w:r w:rsidRPr="00BD1CC1">
        <w:t>OTC</w:t>
      </w:r>
      <w:r w:rsidR="00D435E4">
        <w:t>)</w:t>
      </w:r>
      <w:r w:rsidRPr="00BD1CC1">
        <w:t xml:space="preserve"> products are not included unless otherwise stated.</w:t>
      </w:r>
    </w:p>
    <w:tbl>
      <w:tblPr>
        <w:tblStyle w:val="TableGrid"/>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420" w:firstRow="1" w:lastRow="0" w:firstColumn="0" w:lastColumn="0" w:noHBand="0" w:noVBand="1"/>
      </w:tblPr>
      <w:tblGrid>
        <w:gridCol w:w="4920"/>
        <w:gridCol w:w="5310"/>
      </w:tblGrid>
      <w:tr w:rsidR="00604E08" w14:paraId="0E0C2A88" w14:textId="77777777" w:rsidTr="00EE6F36">
        <w:trPr>
          <w:cantSplit/>
          <w:tblHeader/>
        </w:trPr>
        <w:tc>
          <w:tcPr>
            <w:tcW w:w="4920" w:type="dxa"/>
          </w:tcPr>
          <w:p w14:paraId="66C76964" w14:textId="77777777" w:rsidR="004603B3" w:rsidRDefault="004603B3" w:rsidP="00EE6F36">
            <w:pPr>
              <w:pStyle w:val="TableHeader"/>
            </w:pPr>
            <w:r>
              <w:t>Generic Name</w:t>
            </w:r>
          </w:p>
        </w:tc>
        <w:tc>
          <w:tcPr>
            <w:tcW w:w="5310" w:type="dxa"/>
          </w:tcPr>
          <w:p w14:paraId="0B230BA8" w14:textId="77777777" w:rsidR="004603B3" w:rsidRDefault="004603B3" w:rsidP="00EE6F36">
            <w:pPr>
              <w:pStyle w:val="TableHeader"/>
            </w:pPr>
            <w:r>
              <w:t>Dosage Form</w:t>
            </w:r>
          </w:p>
        </w:tc>
      </w:tr>
      <w:tr w:rsidR="00604E08" w14:paraId="783AF330" w14:textId="77777777" w:rsidTr="00EE6F36">
        <w:trPr>
          <w:cantSplit/>
        </w:trPr>
        <w:tc>
          <w:tcPr>
            <w:tcW w:w="4920" w:type="dxa"/>
          </w:tcPr>
          <w:p w14:paraId="68528094" w14:textId="77777777" w:rsidR="004603B3" w:rsidRDefault="004603B3" w:rsidP="00EE6F36">
            <w:pPr>
              <w:pStyle w:val="BodyText"/>
            </w:pPr>
            <w:r w:rsidRPr="00323F82">
              <w:t xml:space="preserve">leuprolide acetate </w:t>
            </w:r>
          </w:p>
        </w:tc>
        <w:tc>
          <w:tcPr>
            <w:tcW w:w="5310" w:type="dxa"/>
          </w:tcPr>
          <w:p w14:paraId="401BA80D" w14:textId="77777777" w:rsidR="004603B3" w:rsidRPr="00323F82" w:rsidRDefault="004603B3" w:rsidP="00EE6F36">
            <w:pPr>
              <w:pStyle w:val="BodyText"/>
            </w:pPr>
            <w:r>
              <w:t>injection solution</w:t>
            </w:r>
          </w:p>
        </w:tc>
      </w:tr>
    </w:tbl>
    <w:p w14:paraId="14CE6108" w14:textId="14F8CA3F" w:rsidR="00FC1AAD" w:rsidRDefault="00ED052F" w:rsidP="00FF66BF">
      <w:pPr>
        <w:pStyle w:val="Heading2"/>
        <w:tabs>
          <w:tab w:val="left" w:pos="9195"/>
        </w:tabs>
      </w:pPr>
      <w:r>
        <w:t>Indications</w:t>
      </w:r>
    </w:p>
    <w:p w14:paraId="14895FE2" w14:textId="4868FA9D" w:rsidR="00E96DA1" w:rsidRPr="00E96DA1" w:rsidRDefault="00E96DA1" w:rsidP="00E96DA1">
      <w:pPr>
        <w:pStyle w:val="BodyText"/>
      </w:pPr>
      <w:r w:rsidRPr="00E96DA1">
        <w:t xml:space="preserve">The indications below including FDA-approved indications and compendial uses are considered a covered benefit provided that all the approval criteria are </w:t>
      </w:r>
      <w:proofErr w:type="gramStart"/>
      <w:r w:rsidRPr="00E96DA1">
        <w:t>met</w:t>
      </w:r>
      <w:proofErr w:type="gramEnd"/>
      <w:r w:rsidRPr="00E96DA1">
        <w:t xml:space="preserve"> and the member has no exclusions to the prescribed therapy.</w:t>
      </w:r>
    </w:p>
    <w:p w14:paraId="134B5687" w14:textId="4E1D357F" w:rsidR="00ED052F" w:rsidRPr="00BD1CC1" w:rsidRDefault="00ED052F" w:rsidP="00ED052F">
      <w:pPr>
        <w:pStyle w:val="Heading3"/>
        <w:keepNext w:val="0"/>
      </w:pPr>
      <w:r w:rsidRPr="00BD1CC1">
        <w:t>FDA-approved Indications</w:t>
      </w:r>
      <w:r w:rsidR="00350C7A" w:rsidRPr="007057AA">
        <w:rPr>
          <w:vertAlign w:val="superscript"/>
        </w:rPr>
        <w:t>1</w:t>
      </w:r>
    </w:p>
    <w:p w14:paraId="4C434745" w14:textId="308D45FE" w:rsidR="00ED052F" w:rsidRDefault="000535BF" w:rsidP="00ED052F">
      <w:pPr>
        <w:pStyle w:val="BodyText"/>
      </w:pPr>
      <w:r w:rsidRPr="000535BF">
        <w:t>Leuprolide acetate is indicated in the palliative treatment of advanced prostate cancer</w:t>
      </w:r>
      <w:r w:rsidR="00ED052F" w:rsidRPr="00BD1CC1">
        <w:t>.</w:t>
      </w:r>
    </w:p>
    <w:p w14:paraId="0B5EC236" w14:textId="28074B74" w:rsidR="0044763A" w:rsidRPr="000535BF" w:rsidRDefault="009F2EF1" w:rsidP="0044763A">
      <w:pPr>
        <w:pStyle w:val="Heading3"/>
      </w:pPr>
      <w:r>
        <w:t>Compendial Uses</w:t>
      </w:r>
    </w:p>
    <w:p w14:paraId="46D1AD0B" w14:textId="5E150782" w:rsidR="001D42E6" w:rsidRPr="001D42E6" w:rsidRDefault="001D42E6" w:rsidP="001D42E6">
      <w:pPr>
        <w:pStyle w:val="ListParagraph"/>
      </w:pPr>
      <w:r w:rsidRPr="001D42E6">
        <w:t>Central precocious puberty (CPP)</w:t>
      </w:r>
      <w:r w:rsidR="00756A6A" w:rsidRPr="007057AA">
        <w:rPr>
          <w:vertAlign w:val="superscript"/>
        </w:rPr>
        <w:t>2-</w:t>
      </w:r>
      <w:r w:rsidR="00263B4A">
        <w:rPr>
          <w:vertAlign w:val="superscript"/>
        </w:rPr>
        <w:t>7</w:t>
      </w:r>
      <w:r w:rsidR="00756A6A" w:rsidRPr="007057AA">
        <w:rPr>
          <w:vertAlign w:val="superscript"/>
        </w:rPr>
        <w:t>,</w:t>
      </w:r>
      <w:r w:rsidR="008C282C">
        <w:rPr>
          <w:vertAlign w:val="superscript"/>
        </w:rPr>
        <w:t>17</w:t>
      </w:r>
    </w:p>
    <w:p w14:paraId="74E8575F" w14:textId="67CDF9B0" w:rsidR="001D42E6" w:rsidRPr="001D42E6" w:rsidRDefault="001D42E6" w:rsidP="001D42E6">
      <w:pPr>
        <w:pStyle w:val="ListParagraph"/>
      </w:pPr>
      <w:r w:rsidRPr="001D42E6">
        <w:t>Use as a stimulation test to confirm the diagnosis of CPP</w:t>
      </w:r>
      <w:r w:rsidR="00BC310C" w:rsidRPr="007057AA">
        <w:rPr>
          <w:vertAlign w:val="superscript"/>
        </w:rPr>
        <w:t>3-6</w:t>
      </w:r>
    </w:p>
    <w:p w14:paraId="106CCDE7" w14:textId="63F0D19E" w:rsidR="001D42E6" w:rsidRPr="001D42E6" w:rsidRDefault="001D42E6" w:rsidP="001D42E6">
      <w:pPr>
        <w:pStyle w:val="ListParagraph"/>
      </w:pPr>
      <w:r w:rsidRPr="001D42E6">
        <w:t>Use in combination with growth hormone for children with growth failure and advancing puberty</w:t>
      </w:r>
      <w:r w:rsidR="00263B4A">
        <w:rPr>
          <w:vertAlign w:val="superscript"/>
        </w:rPr>
        <w:t>8</w:t>
      </w:r>
      <w:r w:rsidR="00BC310C" w:rsidRPr="007057AA">
        <w:rPr>
          <w:vertAlign w:val="superscript"/>
        </w:rPr>
        <w:t>-1</w:t>
      </w:r>
      <w:r w:rsidR="00263B4A">
        <w:rPr>
          <w:vertAlign w:val="superscript"/>
        </w:rPr>
        <w:t>2</w:t>
      </w:r>
    </w:p>
    <w:p w14:paraId="3923CA18" w14:textId="015C3B3F" w:rsidR="001D42E6" w:rsidRPr="001D42E6" w:rsidRDefault="001D42E6" w:rsidP="001D42E6">
      <w:pPr>
        <w:pStyle w:val="ListParagraph"/>
      </w:pPr>
      <w:r w:rsidRPr="001D42E6">
        <w:t>Prostate cancer</w:t>
      </w:r>
      <w:r w:rsidR="0099125F" w:rsidRPr="007057AA">
        <w:rPr>
          <w:vertAlign w:val="superscript"/>
        </w:rPr>
        <w:t>1</w:t>
      </w:r>
      <w:r w:rsidR="00263B4A">
        <w:rPr>
          <w:vertAlign w:val="superscript"/>
        </w:rPr>
        <w:t>3</w:t>
      </w:r>
    </w:p>
    <w:p w14:paraId="2D0CD6E2" w14:textId="64A4F992" w:rsidR="001D42E6" w:rsidRPr="001D42E6" w:rsidRDefault="001D42E6" w:rsidP="001D42E6">
      <w:pPr>
        <w:pStyle w:val="ListParagraph"/>
      </w:pPr>
      <w:r w:rsidRPr="001D42E6">
        <w:t>Inhibition of premature luteinizing hormone (LH) surges in members undergoing ovulation induction or assisted reproductive technology</w:t>
      </w:r>
      <w:r w:rsidR="0099125F" w:rsidRPr="007057AA">
        <w:rPr>
          <w:vertAlign w:val="superscript"/>
        </w:rPr>
        <w:t>1</w:t>
      </w:r>
      <w:r w:rsidR="00263B4A">
        <w:rPr>
          <w:vertAlign w:val="superscript"/>
        </w:rPr>
        <w:t>4,15</w:t>
      </w:r>
    </w:p>
    <w:p w14:paraId="609C5F9C" w14:textId="16360948" w:rsidR="001D42E6" w:rsidRPr="001D42E6" w:rsidRDefault="001D42E6" w:rsidP="001D42E6">
      <w:pPr>
        <w:pStyle w:val="ListParagraph"/>
      </w:pPr>
      <w:r w:rsidRPr="001D42E6">
        <w:t>Androgen receptor positive salivary gland tumors</w:t>
      </w:r>
      <w:r w:rsidR="0099125F" w:rsidRPr="007057AA">
        <w:rPr>
          <w:vertAlign w:val="superscript"/>
        </w:rPr>
        <w:t>1</w:t>
      </w:r>
      <w:r w:rsidR="00263B4A">
        <w:rPr>
          <w:vertAlign w:val="superscript"/>
        </w:rPr>
        <w:t>3</w:t>
      </w:r>
      <w:r w:rsidR="0099125F" w:rsidRPr="007057AA">
        <w:rPr>
          <w:vertAlign w:val="superscript"/>
        </w:rPr>
        <w:t>,</w:t>
      </w:r>
      <w:r w:rsidR="00263B4A">
        <w:rPr>
          <w:vertAlign w:val="superscript"/>
        </w:rPr>
        <w:t>19</w:t>
      </w:r>
    </w:p>
    <w:p w14:paraId="6A0CD6C2" w14:textId="320ECBC6" w:rsidR="001D42E6" w:rsidRPr="001D42E6" w:rsidRDefault="001D42E6" w:rsidP="001D42E6">
      <w:pPr>
        <w:pStyle w:val="ListParagraph"/>
      </w:pPr>
      <w:r w:rsidRPr="001D42E6">
        <w:t>Triggering of oocyte maturation and ovulation in assisted reproductive technology cycle</w:t>
      </w:r>
      <w:r w:rsidR="0099125F" w:rsidRPr="007057AA">
        <w:rPr>
          <w:vertAlign w:val="superscript"/>
        </w:rPr>
        <w:t>1</w:t>
      </w:r>
      <w:r w:rsidR="00263B4A">
        <w:rPr>
          <w:vertAlign w:val="superscript"/>
        </w:rPr>
        <w:t>6</w:t>
      </w:r>
    </w:p>
    <w:p w14:paraId="0D5A9DD5" w14:textId="57B39A58" w:rsidR="009A5649" w:rsidRPr="00E94C7E" w:rsidRDefault="00955F0B" w:rsidP="007D1EC9">
      <w:pPr>
        <w:pStyle w:val="BodyText"/>
        <w:rPr>
          <w:rFonts w:eastAsia="Arial"/>
        </w:rPr>
      </w:pPr>
      <w:r w:rsidRPr="00E94C7E">
        <w:rPr>
          <w:rFonts w:eastAsia="Arial"/>
        </w:rPr>
        <w:lastRenderedPageBreak/>
        <w:t>All other indications are considered experimental/investigational and not medically necessary.</w:t>
      </w:r>
    </w:p>
    <w:p w14:paraId="36381B6D" w14:textId="3113C11C" w:rsidR="000D2496" w:rsidRPr="00BD1CC1" w:rsidRDefault="000D2496" w:rsidP="000D2496">
      <w:pPr>
        <w:pStyle w:val="Heading2"/>
      </w:pPr>
      <w:r w:rsidRPr="00BD1CC1">
        <w:t>Documentation</w:t>
      </w:r>
    </w:p>
    <w:p w14:paraId="2180ED6E" w14:textId="2A92608C" w:rsidR="000D2496" w:rsidRPr="00F56960" w:rsidRDefault="00F56960" w:rsidP="00F56960">
      <w:pPr>
        <w:pStyle w:val="BodyText"/>
      </w:pPr>
      <w:r w:rsidRPr="00F56960">
        <w:t>Submission of the following information is necessary to initiate the prior authorization review for central precocious puberty: laboratory report or medical record of a pubertal response to a gonadotropin releasing hormone (GnRH) agonist test or a pubertal level of a third-generation luteinizing hormone (LH) assay.</w:t>
      </w:r>
    </w:p>
    <w:p w14:paraId="50A38FBA" w14:textId="62736174" w:rsidR="00FE0C63" w:rsidRPr="00D65EE3" w:rsidRDefault="00685107" w:rsidP="00E050E1">
      <w:pPr>
        <w:pStyle w:val="Heading2"/>
      </w:pPr>
      <w:r>
        <w:t>Coverage Criteria</w:t>
      </w:r>
    </w:p>
    <w:p w14:paraId="11B542CE" w14:textId="2F812A69" w:rsidR="003C29AD" w:rsidRDefault="003C29AD" w:rsidP="008D723C">
      <w:pPr>
        <w:pStyle w:val="Heading3"/>
      </w:pPr>
      <w:r>
        <w:t>Central precocious puberty (CPP)</w:t>
      </w:r>
      <w:r w:rsidR="00EB7EB8" w:rsidRPr="007057AA">
        <w:rPr>
          <w:vertAlign w:val="superscript"/>
        </w:rPr>
        <w:t>2-</w:t>
      </w:r>
      <w:r w:rsidR="0011560F">
        <w:rPr>
          <w:vertAlign w:val="superscript"/>
        </w:rPr>
        <w:t>7</w:t>
      </w:r>
      <w:r w:rsidR="00EB7EB8" w:rsidRPr="007057AA">
        <w:rPr>
          <w:vertAlign w:val="superscript"/>
        </w:rPr>
        <w:t>,</w:t>
      </w:r>
      <w:r w:rsidR="008C282C">
        <w:rPr>
          <w:vertAlign w:val="superscript"/>
        </w:rPr>
        <w:t>17</w:t>
      </w:r>
    </w:p>
    <w:p w14:paraId="69B79E51" w14:textId="30E44819" w:rsidR="003C29AD" w:rsidRDefault="003C29AD" w:rsidP="003C29AD">
      <w:pPr>
        <w:pStyle w:val="BodyText"/>
      </w:pPr>
      <w:r>
        <w:t xml:space="preserve">Authorization of 12 months may be granted for treatment of CPP when </w:t>
      </w:r>
      <w:proofErr w:type="gramStart"/>
      <w:r>
        <w:t>all of</w:t>
      </w:r>
      <w:proofErr w:type="gramEnd"/>
      <w:r>
        <w:t xml:space="preserve"> the following criteria are met:</w:t>
      </w:r>
    </w:p>
    <w:p w14:paraId="3DCA527E" w14:textId="0944D764" w:rsidR="003C29AD" w:rsidRDefault="003C29AD" w:rsidP="00B63692">
      <w:pPr>
        <w:pStyle w:val="ListParagraph"/>
      </w:pPr>
      <w:r>
        <w:t>The diagnosis of CPP has been confirmed by a pubertal response to a gonadotropin releasing hormone (GnRH) agonist test or a pubertal level of a third-generation luteinizing hormone (LH) assay.</w:t>
      </w:r>
    </w:p>
    <w:p w14:paraId="3A05BE66" w14:textId="34A7BE64" w:rsidR="003C29AD" w:rsidRDefault="003C29AD" w:rsidP="00B63692">
      <w:pPr>
        <w:pStyle w:val="ListParagraph"/>
      </w:pPr>
      <w:r>
        <w:t>The assessment of bone age versus chronological age supports the diagnosis of CPP.</w:t>
      </w:r>
    </w:p>
    <w:p w14:paraId="4A45CF5C" w14:textId="1BE2571E" w:rsidR="009778C5" w:rsidRDefault="009778C5" w:rsidP="00B63692">
      <w:pPr>
        <w:pStyle w:val="ListParagraph"/>
      </w:pPr>
      <w:r>
        <w:t>The member meets either of the following criteria:</w:t>
      </w:r>
    </w:p>
    <w:p w14:paraId="303E5F3A" w14:textId="208D02FB" w:rsidR="003C29AD" w:rsidRDefault="003C29AD" w:rsidP="00A94017">
      <w:pPr>
        <w:pStyle w:val="ListParagraph"/>
        <w:numPr>
          <w:ilvl w:val="1"/>
          <w:numId w:val="19"/>
        </w:numPr>
      </w:pPr>
      <w:r>
        <w:t xml:space="preserve">The member </w:t>
      </w:r>
      <w:r w:rsidR="009778C5">
        <w:t xml:space="preserve">is a female and </w:t>
      </w:r>
      <w:r>
        <w:t>was less than 8 years of age at the onset of secondary sexual characteristics.</w:t>
      </w:r>
    </w:p>
    <w:p w14:paraId="4C0EFB16" w14:textId="34F862ED" w:rsidR="009778C5" w:rsidRDefault="009778C5" w:rsidP="00A94017">
      <w:pPr>
        <w:pStyle w:val="ListParagraph"/>
        <w:numPr>
          <w:ilvl w:val="1"/>
          <w:numId w:val="19"/>
        </w:numPr>
      </w:pPr>
      <w:r>
        <w:t>The member is a male and was less than 9 years of age at the onset of secondary sexual characteristics.</w:t>
      </w:r>
    </w:p>
    <w:p w14:paraId="7106017A" w14:textId="4B2F6E72" w:rsidR="009778C5" w:rsidRDefault="009778C5" w:rsidP="009778C5">
      <w:pPr>
        <w:pStyle w:val="ListParagraph"/>
      </w:pPr>
      <w:r>
        <w:t>The pathologic cause of CPP has been assessed (e.g., imaging screening for intracranial tumors, genetic testing for familial CPP [e.g., MKRN3 or DLK1 mutations]).</w:t>
      </w:r>
    </w:p>
    <w:p w14:paraId="4F4411E8" w14:textId="0E6B562F" w:rsidR="003C29AD" w:rsidRDefault="003C29AD" w:rsidP="002B037A">
      <w:pPr>
        <w:pStyle w:val="Heading3"/>
      </w:pPr>
      <w:r>
        <w:t>Stimulation test for CPP diagnosis</w:t>
      </w:r>
      <w:r w:rsidR="00987108" w:rsidRPr="007057AA">
        <w:rPr>
          <w:vertAlign w:val="superscript"/>
        </w:rPr>
        <w:t>3-6,</w:t>
      </w:r>
      <w:r w:rsidR="0011560F">
        <w:rPr>
          <w:vertAlign w:val="superscript"/>
        </w:rPr>
        <w:t>17</w:t>
      </w:r>
    </w:p>
    <w:p w14:paraId="3A6B4371" w14:textId="565E4E97" w:rsidR="003C29AD" w:rsidRDefault="003C29AD" w:rsidP="003C29AD">
      <w:pPr>
        <w:pStyle w:val="BodyText"/>
      </w:pPr>
      <w:r>
        <w:t>Authorization of one dose may be granted for use as a stimulation test to confirm the diagnosis of CPP.</w:t>
      </w:r>
    </w:p>
    <w:p w14:paraId="124C6D99" w14:textId="1C012AFB" w:rsidR="003C29AD" w:rsidRDefault="003C29AD" w:rsidP="002B037A">
      <w:pPr>
        <w:pStyle w:val="Heading3"/>
      </w:pPr>
      <w:r>
        <w:t>Advancing puberty and growth failure</w:t>
      </w:r>
      <w:r w:rsidR="0011560F">
        <w:rPr>
          <w:vertAlign w:val="superscript"/>
        </w:rPr>
        <w:t>8</w:t>
      </w:r>
      <w:r w:rsidR="00987108" w:rsidRPr="007057AA">
        <w:rPr>
          <w:vertAlign w:val="superscript"/>
        </w:rPr>
        <w:t>-1</w:t>
      </w:r>
      <w:r w:rsidR="0011560F">
        <w:rPr>
          <w:vertAlign w:val="superscript"/>
        </w:rPr>
        <w:t>2</w:t>
      </w:r>
    </w:p>
    <w:p w14:paraId="622CB768" w14:textId="5EA538DE" w:rsidR="003C29AD" w:rsidRDefault="003C29AD" w:rsidP="003C29AD">
      <w:pPr>
        <w:pStyle w:val="BodyText"/>
      </w:pPr>
      <w:r>
        <w:t>Authorization of 12 months may be granted for treatment of advancing puberty and growth failure in a pediatric member when leuprolide acetate is used in combination with growth hormone.</w:t>
      </w:r>
    </w:p>
    <w:p w14:paraId="08DC0F46" w14:textId="73DAA3BD" w:rsidR="003C29AD" w:rsidRDefault="003C29AD" w:rsidP="002B037A">
      <w:pPr>
        <w:pStyle w:val="Heading3"/>
      </w:pPr>
      <w:r>
        <w:t>Prostate cancer</w:t>
      </w:r>
      <w:r w:rsidR="00E1368D" w:rsidRPr="007057AA">
        <w:rPr>
          <w:vertAlign w:val="superscript"/>
        </w:rPr>
        <w:t>1,1</w:t>
      </w:r>
      <w:r w:rsidR="00D70966">
        <w:rPr>
          <w:vertAlign w:val="superscript"/>
        </w:rPr>
        <w:t>3</w:t>
      </w:r>
    </w:p>
    <w:p w14:paraId="7ECAE1A4" w14:textId="664B60BC" w:rsidR="003C29AD" w:rsidRDefault="003C29AD" w:rsidP="003C29AD">
      <w:pPr>
        <w:pStyle w:val="BodyText"/>
      </w:pPr>
      <w:r>
        <w:t>Authorization of 12 months may be granted for treatment of prostate cancer.</w:t>
      </w:r>
    </w:p>
    <w:p w14:paraId="49114C0D" w14:textId="1A85C7CA" w:rsidR="003C29AD" w:rsidRDefault="003C29AD" w:rsidP="002B037A">
      <w:pPr>
        <w:pStyle w:val="Heading3"/>
      </w:pPr>
      <w:r>
        <w:lastRenderedPageBreak/>
        <w:t>Salivary gland tumors</w:t>
      </w:r>
      <w:r w:rsidR="00E1368D" w:rsidRPr="007057AA">
        <w:rPr>
          <w:vertAlign w:val="superscript"/>
        </w:rPr>
        <w:t>1</w:t>
      </w:r>
      <w:r w:rsidR="00D70966">
        <w:rPr>
          <w:vertAlign w:val="superscript"/>
        </w:rPr>
        <w:t>3</w:t>
      </w:r>
      <w:r w:rsidR="00E1368D" w:rsidRPr="007057AA">
        <w:rPr>
          <w:vertAlign w:val="superscript"/>
        </w:rPr>
        <w:t>,</w:t>
      </w:r>
      <w:r w:rsidR="00D70966">
        <w:rPr>
          <w:vertAlign w:val="superscript"/>
        </w:rPr>
        <w:t>19</w:t>
      </w:r>
    </w:p>
    <w:p w14:paraId="7A9D80EB" w14:textId="266D1849" w:rsidR="003C29AD" w:rsidRDefault="003C29AD" w:rsidP="003C29AD">
      <w:pPr>
        <w:pStyle w:val="BodyText"/>
      </w:pPr>
      <w:r>
        <w:t>Authorization of 12 months may be granted for treatment of recurrent</w:t>
      </w:r>
      <w:r w:rsidR="00EA7769">
        <w:t>, unresectable or metastatic</w:t>
      </w:r>
      <w:r>
        <w:t xml:space="preserve"> salivary gland tumors as a single agent when the tumor is androgen receptor positive.</w:t>
      </w:r>
    </w:p>
    <w:p w14:paraId="7B7EBBA5" w14:textId="33CF6A2D" w:rsidR="003C29AD" w:rsidRDefault="003C29AD" w:rsidP="003B2A97">
      <w:pPr>
        <w:pStyle w:val="Heading3"/>
      </w:pPr>
      <w:r>
        <w:t>Inhibition of premature luteinizing hormone (LH) surges</w:t>
      </w:r>
      <w:r w:rsidRPr="007057AA">
        <w:rPr>
          <w:vertAlign w:val="superscript"/>
        </w:rPr>
        <w:t>‡</w:t>
      </w:r>
      <w:r w:rsidR="00362854">
        <w:rPr>
          <w:vertAlign w:val="superscript"/>
        </w:rPr>
        <w:t>1</w:t>
      </w:r>
      <w:r w:rsidR="006108D0">
        <w:rPr>
          <w:vertAlign w:val="superscript"/>
        </w:rPr>
        <w:t>4,</w:t>
      </w:r>
      <w:r w:rsidR="00362854">
        <w:rPr>
          <w:vertAlign w:val="superscript"/>
        </w:rPr>
        <w:t>1</w:t>
      </w:r>
      <w:r w:rsidR="006108D0">
        <w:rPr>
          <w:vertAlign w:val="superscript"/>
        </w:rPr>
        <w:t>5</w:t>
      </w:r>
    </w:p>
    <w:p w14:paraId="1DB91931" w14:textId="0EFF5B3F" w:rsidR="003C29AD" w:rsidRDefault="003C29AD" w:rsidP="003C29AD">
      <w:pPr>
        <w:pStyle w:val="BodyText"/>
      </w:pPr>
      <w:r>
        <w:t>Authorization of 12 months may be granted for the inhibition of premature LH surges in members undergoing ovulation induction or assisted reproductive technology (ART).</w:t>
      </w:r>
    </w:p>
    <w:p w14:paraId="14AB6785" w14:textId="1E62E48D" w:rsidR="003C29AD" w:rsidRDefault="003C29AD" w:rsidP="003B2A97">
      <w:pPr>
        <w:pStyle w:val="Heading3"/>
      </w:pPr>
      <w:r>
        <w:t>Oocyte maturation and ovulation trigger</w:t>
      </w:r>
      <w:r w:rsidRPr="007057AA">
        <w:rPr>
          <w:vertAlign w:val="superscript"/>
        </w:rPr>
        <w:t>‡</w:t>
      </w:r>
      <w:r w:rsidR="001955BB">
        <w:rPr>
          <w:vertAlign w:val="superscript"/>
        </w:rPr>
        <w:t>1</w:t>
      </w:r>
      <w:r w:rsidR="006108D0">
        <w:rPr>
          <w:vertAlign w:val="superscript"/>
        </w:rPr>
        <w:t>6</w:t>
      </w:r>
      <w:r w:rsidR="001955BB">
        <w:rPr>
          <w:vertAlign w:val="superscript"/>
        </w:rPr>
        <w:t>,</w:t>
      </w:r>
      <w:r w:rsidR="006108D0">
        <w:rPr>
          <w:vertAlign w:val="superscript"/>
        </w:rPr>
        <w:t>18</w:t>
      </w:r>
    </w:p>
    <w:p w14:paraId="0EAF1423" w14:textId="6DAF8281" w:rsidR="003C29AD" w:rsidRDefault="003C29AD" w:rsidP="003C29AD">
      <w:pPr>
        <w:pStyle w:val="BodyText"/>
      </w:pPr>
      <w:r>
        <w:t>Authorization of 12 months may be granted for members undergoing ovulation induction or assisted reproductive technology (ART).</w:t>
      </w:r>
    </w:p>
    <w:p w14:paraId="09762821" w14:textId="46974084" w:rsidR="003C29AD" w:rsidRDefault="003C29AD" w:rsidP="003C29AD">
      <w:pPr>
        <w:pStyle w:val="BodyText"/>
      </w:pPr>
      <w:r>
        <w:t xml:space="preserve">‡ Specialty Guideline Management coverage review will be bypassed for leuprolide if it is being requested for a procedure that has been approved under a member’s medical benefit plan. Such members will be exempt from the requirements </w:t>
      </w:r>
      <w:r w:rsidR="009C6FE6">
        <w:t>listed in the coverage criteria</w:t>
      </w:r>
      <w:r>
        <w:t xml:space="preserve">. A medical authorization number and confirmation of the approved procedure(s) will be required. NOTE: Some plans may opt-out of medical benefit alignment. Members receiving coverage under such plans must meet the requirements </w:t>
      </w:r>
      <w:r w:rsidR="00D77B7D">
        <w:t>listed in the coverage criteria</w:t>
      </w:r>
      <w:r>
        <w:t>.</w:t>
      </w:r>
    </w:p>
    <w:p w14:paraId="3A643EC3" w14:textId="0C229C2E" w:rsidR="00A501AC" w:rsidRPr="00BD1CC1" w:rsidRDefault="00A501AC" w:rsidP="00A501AC">
      <w:pPr>
        <w:pStyle w:val="Heading2"/>
      </w:pPr>
      <w:r w:rsidRPr="00BD1CC1">
        <w:t>Continuation of Therapy</w:t>
      </w:r>
    </w:p>
    <w:p w14:paraId="66D83769" w14:textId="5A90FF8B" w:rsidR="00F85DAC" w:rsidRPr="00F85DAC" w:rsidRDefault="00F85DAC" w:rsidP="00AD32D6">
      <w:pPr>
        <w:pStyle w:val="Heading3"/>
      </w:pPr>
      <w:r w:rsidRPr="00F85DAC">
        <w:t>Central precocious puberty</w:t>
      </w:r>
      <w:r w:rsidR="00F34773" w:rsidRPr="007057AA">
        <w:rPr>
          <w:vertAlign w:val="superscript"/>
        </w:rPr>
        <w:t>2-</w:t>
      </w:r>
      <w:r w:rsidR="00B039B5">
        <w:rPr>
          <w:vertAlign w:val="superscript"/>
        </w:rPr>
        <w:t>7</w:t>
      </w:r>
      <w:r w:rsidR="00F34773" w:rsidRPr="007057AA">
        <w:rPr>
          <w:vertAlign w:val="superscript"/>
        </w:rPr>
        <w:t>,</w:t>
      </w:r>
      <w:r w:rsidR="008C282C">
        <w:rPr>
          <w:vertAlign w:val="superscript"/>
        </w:rPr>
        <w:t>17</w:t>
      </w:r>
    </w:p>
    <w:p w14:paraId="0FD2A07F" w14:textId="453B8711" w:rsidR="00F85DAC" w:rsidRPr="00F85DAC" w:rsidRDefault="00F85DAC" w:rsidP="00F85DAC">
      <w:pPr>
        <w:pStyle w:val="BodyText"/>
      </w:pPr>
      <w:r w:rsidRPr="00F85DAC">
        <w:t>Authorization of up to 12 months may be granted for continu</w:t>
      </w:r>
      <w:r w:rsidR="0023356C">
        <w:t>ed</w:t>
      </w:r>
      <w:r w:rsidRPr="00F85DAC">
        <w:t xml:space="preserve"> </w:t>
      </w:r>
      <w:r w:rsidR="00C44D11">
        <w:t>treatment f</w:t>
      </w:r>
      <w:r w:rsidR="00B220A4">
        <w:t>or</w:t>
      </w:r>
      <w:r w:rsidR="00C44D11">
        <w:t xml:space="preserve"> </w:t>
      </w:r>
      <w:r w:rsidRPr="00F85DAC">
        <w:t xml:space="preserve">CPP </w:t>
      </w:r>
      <w:r w:rsidR="00374301">
        <w:t>when</w:t>
      </w:r>
      <w:r w:rsidRPr="00F85DAC">
        <w:t xml:space="preserve"> the member meets </w:t>
      </w:r>
      <w:proofErr w:type="gramStart"/>
      <w:r w:rsidR="00374301">
        <w:t>all</w:t>
      </w:r>
      <w:r w:rsidRPr="00F85DAC">
        <w:t xml:space="preserve"> of</w:t>
      </w:r>
      <w:proofErr w:type="gramEnd"/>
      <w:r w:rsidRPr="00F85DAC">
        <w:t xml:space="preserve"> the following</w:t>
      </w:r>
      <w:r w:rsidR="00374301">
        <w:t xml:space="preserve"> criteria</w:t>
      </w:r>
      <w:r w:rsidRPr="00F85DAC">
        <w:t>:</w:t>
      </w:r>
    </w:p>
    <w:p w14:paraId="1E63EA73" w14:textId="73BBE291" w:rsidR="00F85DAC" w:rsidRDefault="00F85DAC" w:rsidP="00D261E4">
      <w:pPr>
        <w:pStyle w:val="ListParagraph"/>
      </w:pPr>
      <w:r w:rsidRPr="00F85DAC">
        <w:t>The member is currently receiving the requested medication through a paid pharmacy or medical benefit.</w:t>
      </w:r>
    </w:p>
    <w:p w14:paraId="1E3FC02B" w14:textId="7D0B4160" w:rsidR="00374301" w:rsidRPr="00F85DAC" w:rsidRDefault="00374301" w:rsidP="00374301">
      <w:pPr>
        <w:pStyle w:val="ListParagraph"/>
        <w:rPr>
          <w:lang w:eastAsia="en-IN"/>
        </w:rPr>
      </w:pPr>
      <w:r w:rsidRPr="00C036C0">
        <w:rPr>
          <w:lang w:eastAsia="en-IN"/>
        </w:rPr>
        <w:t>The member is either a female less than 12 years of age or a male less than 13 years of age.</w:t>
      </w:r>
    </w:p>
    <w:p w14:paraId="7A260E19" w14:textId="684AF362" w:rsidR="00F85DAC" w:rsidRPr="00F85DAC" w:rsidRDefault="00F85DAC" w:rsidP="00D261E4">
      <w:pPr>
        <w:pStyle w:val="ListParagraph"/>
      </w:pPr>
      <w:r w:rsidRPr="00F85DAC">
        <w:t>The member is not experiencing treatment failure (e.g., clinical pubertal progression, lack of growth deceleration, continued excessive bone age advancement).</w:t>
      </w:r>
    </w:p>
    <w:p w14:paraId="20D9AEA0" w14:textId="5ABCD373" w:rsidR="00F85DAC" w:rsidRPr="00F85DAC" w:rsidRDefault="00F85DAC" w:rsidP="00D261E4">
      <w:pPr>
        <w:pStyle w:val="Heading3"/>
      </w:pPr>
      <w:r w:rsidRPr="00F85DAC">
        <w:t>Prostate cancer</w:t>
      </w:r>
    </w:p>
    <w:p w14:paraId="5A0CE95E" w14:textId="7FDD9221" w:rsidR="00F85DAC" w:rsidRDefault="00F85DAC" w:rsidP="00F85DAC">
      <w:pPr>
        <w:pStyle w:val="BodyText"/>
      </w:pPr>
      <w:r w:rsidRPr="00F85DAC">
        <w:t>Authorization of 12 months may be granted for continued treatment of prostate cancer in members requesting authorization who are experiencing clinical benefit to therapy (e.g., serum testosterone less than 50 ng/dL) and who have not experienced an unacceptable toxicity.</w:t>
      </w:r>
    </w:p>
    <w:p w14:paraId="497ADD49" w14:textId="2397BAED" w:rsidR="006D6D90" w:rsidRDefault="000E4AFF" w:rsidP="007057AA">
      <w:pPr>
        <w:pStyle w:val="Heading3"/>
      </w:pPr>
      <w:r>
        <w:lastRenderedPageBreak/>
        <w:t>Salivary gland tumors</w:t>
      </w:r>
    </w:p>
    <w:p w14:paraId="6E9DC3E0" w14:textId="6DA3FAB8" w:rsidR="000E4AFF" w:rsidRPr="00482EC5" w:rsidRDefault="000E4AFF" w:rsidP="00482EC5">
      <w:pPr>
        <w:pStyle w:val="BodyText"/>
      </w:pPr>
      <w:r w:rsidRPr="00482EC5">
        <w:t>Authorization of 12 months may be granted for continued</w:t>
      </w:r>
      <w:r w:rsidR="00BA50F7" w:rsidRPr="00482EC5">
        <w:t xml:space="preserve"> treatment of salivary gland tumors in members r</w:t>
      </w:r>
      <w:r w:rsidR="008A08A9" w:rsidRPr="00482EC5">
        <w:t xml:space="preserve">equesting </w:t>
      </w:r>
      <w:r w:rsidR="000F595B" w:rsidRPr="00482EC5">
        <w:t>authorization who are experiencing clinical benefit to therapy and who have not experienced an unacceptable toxicity.</w:t>
      </w:r>
    </w:p>
    <w:p w14:paraId="0B0FCC5F" w14:textId="5EA260C7" w:rsidR="00F85DAC" w:rsidRPr="00F85DAC" w:rsidRDefault="00F85DAC" w:rsidP="00D261E4">
      <w:pPr>
        <w:pStyle w:val="Heading3"/>
      </w:pPr>
      <w:r w:rsidRPr="00F85DAC">
        <w:t>All other indications</w:t>
      </w:r>
    </w:p>
    <w:p w14:paraId="78201D38" w14:textId="2893A18B" w:rsidR="00F85DAC" w:rsidRPr="00F85DAC" w:rsidRDefault="00F85DAC" w:rsidP="00F85DAC">
      <w:pPr>
        <w:pStyle w:val="BodyText"/>
      </w:pPr>
      <w:r w:rsidRPr="00F85DAC">
        <w:t xml:space="preserve">All members (including new members) requesting authorization for continuation of therapy must meet all </w:t>
      </w:r>
      <w:r w:rsidR="00696389">
        <w:t>requirements in the coverage criteria</w:t>
      </w:r>
      <w:r w:rsidRPr="00F85DAC">
        <w:t>.</w:t>
      </w:r>
    </w:p>
    <w:p w14:paraId="10DA4309" w14:textId="07A852D6" w:rsidR="00FF66BF" w:rsidRPr="00666C30" w:rsidRDefault="00FF66BF" w:rsidP="00FF66BF">
      <w:pPr>
        <w:pStyle w:val="Heading2"/>
        <w:rPr>
          <w:vertAlign w:val="superscript"/>
        </w:rPr>
      </w:pPr>
      <w:r w:rsidRPr="008D1B34">
        <w:t>References</w:t>
      </w:r>
    </w:p>
    <w:p w14:paraId="315CCF3A" w14:textId="46972808" w:rsidR="006165EE" w:rsidRPr="00CE7671" w:rsidRDefault="006165EE" w:rsidP="00A94017">
      <w:pPr>
        <w:pStyle w:val="ReferenceOrdered"/>
        <w:numPr>
          <w:ilvl w:val="0"/>
          <w:numId w:val="21"/>
        </w:numPr>
      </w:pPr>
      <w:r w:rsidRPr="00CE7671">
        <w:t xml:space="preserve">Leuprolide acetate injection [package insert]. </w:t>
      </w:r>
      <w:r w:rsidR="00692CED" w:rsidRPr="00CE7671">
        <w:t>Bridgewater</w:t>
      </w:r>
      <w:r w:rsidRPr="00CE7671">
        <w:t xml:space="preserve">, NJ: </w:t>
      </w:r>
      <w:r w:rsidR="00812BEF" w:rsidRPr="00CE7671">
        <w:t>Amneal Pharmace</w:t>
      </w:r>
      <w:r w:rsidR="0010247F" w:rsidRPr="00CE7671">
        <w:t>uticals LLC</w:t>
      </w:r>
      <w:r w:rsidR="00627687" w:rsidRPr="00CE7671">
        <w:rPr>
          <w:rFonts w:ascii="Arial" w:hAnsi="Arial"/>
          <w:sz w:val="20"/>
          <w:szCs w:val="20"/>
        </w:rPr>
        <w:t>;</w:t>
      </w:r>
      <w:r w:rsidR="0010247F" w:rsidRPr="00CE7671">
        <w:t xml:space="preserve"> </w:t>
      </w:r>
      <w:r w:rsidR="00A56075">
        <w:t>November</w:t>
      </w:r>
      <w:r w:rsidR="0010247F" w:rsidRPr="00CE7671">
        <w:t xml:space="preserve"> 202</w:t>
      </w:r>
      <w:r w:rsidR="00A56075">
        <w:t>4</w:t>
      </w:r>
      <w:r w:rsidRPr="00CE7671">
        <w:t>.</w:t>
      </w:r>
    </w:p>
    <w:p w14:paraId="5086ACFA" w14:textId="640860A0" w:rsidR="006165EE" w:rsidRPr="00CE7671" w:rsidRDefault="006165EE" w:rsidP="00A94017">
      <w:pPr>
        <w:pStyle w:val="ReferenceOrdered"/>
        <w:numPr>
          <w:ilvl w:val="0"/>
          <w:numId w:val="21"/>
        </w:numPr>
      </w:pPr>
      <w:r w:rsidRPr="00CE7671">
        <w:t xml:space="preserve">Clinical Pharmacology [database online]. Tampa, FL: Gold Standard, Inc.; </w:t>
      </w:r>
      <w:r w:rsidR="00627687" w:rsidRPr="00CE7671">
        <w:t>2024</w:t>
      </w:r>
      <w:r w:rsidRPr="00CE7671">
        <w:t xml:space="preserve">. URL: http://www.clinicalpharmacology.com. Accessed </w:t>
      </w:r>
      <w:r w:rsidR="00A56075">
        <w:t>December</w:t>
      </w:r>
      <w:r w:rsidR="00A56075" w:rsidRPr="00CE7671">
        <w:t xml:space="preserve"> </w:t>
      </w:r>
      <w:r w:rsidR="009B3B53" w:rsidRPr="00CE7671">
        <w:t>1</w:t>
      </w:r>
      <w:r w:rsidR="00A56075">
        <w:t>2</w:t>
      </w:r>
      <w:r w:rsidR="009B3B53" w:rsidRPr="00CE7671">
        <w:t>, 2024</w:t>
      </w:r>
      <w:r w:rsidRPr="00CE7671">
        <w:t>.</w:t>
      </w:r>
    </w:p>
    <w:p w14:paraId="59A6C28B" w14:textId="42F62C33" w:rsidR="006165EE" w:rsidRPr="00CE7671" w:rsidRDefault="006165EE" w:rsidP="00A94017">
      <w:pPr>
        <w:pStyle w:val="ReferenceOrdered"/>
        <w:numPr>
          <w:ilvl w:val="0"/>
          <w:numId w:val="21"/>
        </w:numPr>
      </w:pPr>
      <w:proofErr w:type="spellStart"/>
      <w:r w:rsidRPr="00CE7671">
        <w:t>Carel</w:t>
      </w:r>
      <w:proofErr w:type="spellEnd"/>
      <w:r w:rsidRPr="00CE7671">
        <w:t xml:space="preserve"> J, </w:t>
      </w:r>
      <w:proofErr w:type="spellStart"/>
      <w:r w:rsidRPr="00CE7671">
        <w:t>Eugster</w:t>
      </w:r>
      <w:proofErr w:type="spellEnd"/>
      <w:r w:rsidRPr="00CE7671">
        <w:t xml:space="preserve"> EA, </w:t>
      </w:r>
      <w:proofErr w:type="spellStart"/>
      <w:r w:rsidRPr="00CE7671">
        <w:t>Rogol</w:t>
      </w:r>
      <w:proofErr w:type="spellEnd"/>
      <w:r w:rsidRPr="00CE7671">
        <w:t xml:space="preserve"> A, et al. Consensus statement on the use of gonadotropin-releasing hormone analogs in children. </w:t>
      </w:r>
      <w:r w:rsidRPr="00FD2705">
        <w:t>Pediatrics.</w:t>
      </w:r>
      <w:r w:rsidRPr="00CE7671">
        <w:t xml:space="preserve"> 2009;</w:t>
      </w:r>
      <w:proofErr w:type="gramStart"/>
      <w:r w:rsidRPr="00CE7671">
        <w:t>123:e</w:t>
      </w:r>
      <w:proofErr w:type="gramEnd"/>
      <w:r w:rsidRPr="00CE7671">
        <w:t>752-e762.</w:t>
      </w:r>
    </w:p>
    <w:p w14:paraId="6D823286" w14:textId="790A8574" w:rsidR="006165EE" w:rsidRPr="00CE7671" w:rsidRDefault="006165EE" w:rsidP="00A94017">
      <w:pPr>
        <w:pStyle w:val="ReferenceOrdered"/>
        <w:numPr>
          <w:ilvl w:val="0"/>
          <w:numId w:val="21"/>
        </w:numPr>
      </w:pPr>
      <w:r w:rsidRPr="00CE7671">
        <w:t xml:space="preserve">Bangalore Krishna K, Fuqua JS, </w:t>
      </w:r>
      <w:proofErr w:type="spellStart"/>
      <w:r w:rsidRPr="00CE7671">
        <w:t>Rogol</w:t>
      </w:r>
      <w:proofErr w:type="spellEnd"/>
      <w:r w:rsidRPr="00CE7671">
        <w:t xml:space="preserve"> AD, et al. Use of gonadotropin-releasing hormone analogs in children: Update by an international consortium. </w:t>
      </w:r>
      <w:proofErr w:type="spellStart"/>
      <w:r w:rsidRPr="00FD2705">
        <w:t>Horm</w:t>
      </w:r>
      <w:proofErr w:type="spellEnd"/>
      <w:r w:rsidRPr="00FD2705">
        <w:t xml:space="preserve"> Res </w:t>
      </w:r>
      <w:proofErr w:type="spellStart"/>
      <w:r w:rsidRPr="00FD2705">
        <w:t>Paediatr</w:t>
      </w:r>
      <w:proofErr w:type="spellEnd"/>
      <w:r w:rsidRPr="00CE7671">
        <w:t>. 2019;91(6):357-372.</w:t>
      </w:r>
    </w:p>
    <w:p w14:paraId="36D92B54" w14:textId="23AEA6AF" w:rsidR="006165EE" w:rsidRPr="00CE7671" w:rsidRDefault="006165EE" w:rsidP="00A94017">
      <w:pPr>
        <w:pStyle w:val="ReferenceOrdered"/>
        <w:numPr>
          <w:ilvl w:val="0"/>
          <w:numId w:val="21"/>
        </w:numPr>
      </w:pPr>
      <w:proofErr w:type="spellStart"/>
      <w:r w:rsidRPr="00CE7671">
        <w:t>Kletter</w:t>
      </w:r>
      <w:proofErr w:type="spellEnd"/>
      <w:r w:rsidRPr="00CE7671">
        <w:t xml:space="preserve"> GB, Klein KO, Wong YY. A pediatrician’s guide to central precocious puberty. </w:t>
      </w:r>
      <w:r w:rsidRPr="00FD2705">
        <w:t xml:space="preserve">Clin </w:t>
      </w:r>
      <w:proofErr w:type="spellStart"/>
      <w:r w:rsidRPr="00FD2705">
        <w:t>Pediatr</w:t>
      </w:r>
      <w:proofErr w:type="spellEnd"/>
      <w:r w:rsidRPr="00FD2705">
        <w:t xml:space="preserve">. </w:t>
      </w:r>
      <w:proofErr w:type="gramStart"/>
      <w:r w:rsidRPr="00CE7671">
        <w:t>2015;54:414</w:t>
      </w:r>
      <w:proofErr w:type="gramEnd"/>
      <w:r w:rsidRPr="00CE7671">
        <w:t>-424.</w:t>
      </w:r>
    </w:p>
    <w:p w14:paraId="737C75E3" w14:textId="5FE283EE" w:rsidR="000C185D" w:rsidRPr="00CE7671" w:rsidRDefault="000C185D" w:rsidP="00A94017">
      <w:pPr>
        <w:pStyle w:val="ReferenceOrdered"/>
        <w:numPr>
          <w:ilvl w:val="0"/>
          <w:numId w:val="21"/>
        </w:numPr>
      </w:pPr>
      <w:r>
        <w:rPr>
          <w:lang w:val="fi-FI"/>
        </w:rPr>
        <w:t>Bangalore Krishna K, Silverman LA. Diagnosis of central precocious puberty. Endocrinol Metab Clin North Am. 2024;53(2):217-227.</w:t>
      </w:r>
    </w:p>
    <w:p w14:paraId="2867FEAF" w14:textId="297427CC" w:rsidR="0047718B" w:rsidRPr="00CE7671" w:rsidRDefault="0047718B" w:rsidP="00A94017">
      <w:pPr>
        <w:pStyle w:val="ReferenceOrdered"/>
        <w:numPr>
          <w:ilvl w:val="0"/>
          <w:numId w:val="21"/>
        </w:numPr>
      </w:pPr>
      <w:r w:rsidRPr="00CE7671">
        <w:t xml:space="preserve">Kaplowitz P, Bloch C, the Section on Endocrinology. Evaluation and referral of children with signs of early puberty. </w:t>
      </w:r>
      <w:r w:rsidRPr="00FD2705">
        <w:t xml:space="preserve">Pediatrics. </w:t>
      </w:r>
      <w:r w:rsidRPr="00CE7671">
        <w:t>2016;</w:t>
      </w:r>
      <w:proofErr w:type="gramStart"/>
      <w:r w:rsidRPr="00CE7671">
        <w:t>137:e</w:t>
      </w:r>
      <w:proofErr w:type="gramEnd"/>
      <w:r w:rsidRPr="00CE7671">
        <w:t>20153732</w:t>
      </w:r>
      <w:r w:rsidR="00B914E4" w:rsidRPr="00CE7671">
        <w:t>.</w:t>
      </w:r>
    </w:p>
    <w:p w14:paraId="0D9114E0" w14:textId="61F57C5D" w:rsidR="006165EE" w:rsidRPr="00CE7671" w:rsidRDefault="006165EE" w:rsidP="00A94017">
      <w:pPr>
        <w:pStyle w:val="ReferenceOrdered"/>
        <w:numPr>
          <w:ilvl w:val="0"/>
          <w:numId w:val="21"/>
        </w:numPr>
      </w:pPr>
      <w:r w:rsidRPr="00CE7671">
        <w:t xml:space="preserve">Kamp GA, Mul D, </w:t>
      </w:r>
      <w:proofErr w:type="spellStart"/>
      <w:r w:rsidRPr="00CE7671">
        <w:t>Waelkens</w:t>
      </w:r>
      <w:proofErr w:type="spellEnd"/>
      <w:r w:rsidRPr="00CE7671">
        <w:t xml:space="preserve"> JJ, et al. A randomized controlled trial of three years growth hormone and gonadotropin-releasing hormone agonist treatment in children with idiopathic short stature and intrauterine growth retardation. </w:t>
      </w:r>
      <w:r w:rsidRPr="00FD2705">
        <w:t xml:space="preserve">J Clin Endocrinol </w:t>
      </w:r>
      <w:proofErr w:type="spellStart"/>
      <w:r w:rsidRPr="00FD2705">
        <w:t>Metab</w:t>
      </w:r>
      <w:proofErr w:type="spellEnd"/>
      <w:r w:rsidRPr="00CE7671">
        <w:t xml:space="preserve">. </w:t>
      </w:r>
      <w:proofErr w:type="gramStart"/>
      <w:r w:rsidRPr="00CE7671">
        <w:t>2001;86:2969</w:t>
      </w:r>
      <w:proofErr w:type="gramEnd"/>
      <w:r w:rsidRPr="00CE7671">
        <w:t>-2975.</w:t>
      </w:r>
    </w:p>
    <w:p w14:paraId="11DAA04E" w14:textId="21B0F6F8" w:rsidR="006165EE" w:rsidRPr="00CE7671" w:rsidRDefault="006165EE" w:rsidP="00A94017">
      <w:pPr>
        <w:pStyle w:val="ReferenceOrdered"/>
        <w:numPr>
          <w:ilvl w:val="0"/>
          <w:numId w:val="21"/>
        </w:numPr>
      </w:pPr>
      <w:proofErr w:type="spellStart"/>
      <w:r w:rsidRPr="00CE7671">
        <w:t>Mericq</w:t>
      </w:r>
      <w:proofErr w:type="spellEnd"/>
      <w:r w:rsidRPr="00CE7671">
        <w:t xml:space="preserve"> V, </w:t>
      </w:r>
      <w:proofErr w:type="spellStart"/>
      <w:r w:rsidRPr="00CE7671">
        <w:t>Cajardo</w:t>
      </w:r>
      <w:proofErr w:type="spellEnd"/>
      <w:r w:rsidRPr="00CE7671">
        <w:t xml:space="preserve"> H, </w:t>
      </w:r>
      <w:proofErr w:type="spellStart"/>
      <w:r w:rsidRPr="00CE7671">
        <w:t>Effers</w:t>
      </w:r>
      <w:proofErr w:type="spellEnd"/>
      <w:r w:rsidRPr="00CE7671">
        <w:t xml:space="preserve"> M, et al. Effects of treatment with GH alone or in combination with LHRH analog on bone mineral density in pubertal GH-deficient patients</w:t>
      </w:r>
      <w:r w:rsidRPr="00FD2705">
        <w:t xml:space="preserve">. J Clin Endocrinol </w:t>
      </w:r>
      <w:proofErr w:type="spellStart"/>
      <w:r w:rsidRPr="00FD2705">
        <w:t>Metab</w:t>
      </w:r>
      <w:proofErr w:type="spellEnd"/>
      <w:r w:rsidRPr="00FD2705">
        <w:t>.</w:t>
      </w:r>
      <w:r w:rsidRPr="00CE7671">
        <w:t xml:space="preserve"> </w:t>
      </w:r>
      <w:proofErr w:type="gramStart"/>
      <w:r w:rsidRPr="00CE7671">
        <w:t>2002;87:84</w:t>
      </w:r>
      <w:proofErr w:type="gramEnd"/>
      <w:r w:rsidRPr="00CE7671">
        <w:t>-89.</w:t>
      </w:r>
    </w:p>
    <w:p w14:paraId="0B449C64" w14:textId="1CFF5340" w:rsidR="006165EE" w:rsidRPr="00CE7671" w:rsidRDefault="006165EE" w:rsidP="00A94017">
      <w:pPr>
        <w:pStyle w:val="ReferenceOrdered"/>
        <w:numPr>
          <w:ilvl w:val="0"/>
          <w:numId w:val="21"/>
        </w:numPr>
      </w:pPr>
      <w:r w:rsidRPr="00CE7671">
        <w:t xml:space="preserve">Mul D, Wit JM, </w:t>
      </w:r>
      <w:proofErr w:type="spellStart"/>
      <w:r w:rsidRPr="00CE7671">
        <w:t>Oostdijk</w:t>
      </w:r>
      <w:proofErr w:type="spellEnd"/>
      <w:r w:rsidRPr="00CE7671">
        <w:t xml:space="preserve"> W, et al. The effect of pubertal delay by GnRH agonist in GH-deficient children on final height. </w:t>
      </w:r>
      <w:r w:rsidRPr="00FD2705">
        <w:t>J</w:t>
      </w:r>
      <w:r w:rsidRPr="00CE7671">
        <w:t xml:space="preserve"> </w:t>
      </w:r>
      <w:r w:rsidRPr="00FD2705">
        <w:t xml:space="preserve">Clin Endocrinol </w:t>
      </w:r>
      <w:proofErr w:type="spellStart"/>
      <w:r w:rsidRPr="00FD2705">
        <w:t>Metab</w:t>
      </w:r>
      <w:proofErr w:type="spellEnd"/>
      <w:r w:rsidRPr="00FD2705">
        <w:t>.</w:t>
      </w:r>
      <w:r w:rsidRPr="00CE7671">
        <w:t xml:space="preserve"> </w:t>
      </w:r>
      <w:proofErr w:type="gramStart"/>
      <w:r w:rsidRPr="00CE7671">
        <w:t>2001;86:4655</w:t>
      </w:r>
      <w:proofErr w:type="gramEnd"/>
      <w:r w:rsidRPr="00CE7671">
        <w:t>-4656.</w:t>
      </w:r>
    </w:p>
    <w:p w14:paraId="623069D0" w14:textId="0A2978D9" w:rsidR="006165EE" w:rsidRPr="00CE7671" w:rsidRDefault="006165EE" w:rsidP="00A94017">
      <w:pPr>
        <w:pStyle w:val="ReferenceOrdered"/>
        <w:numPr>
          <w:ilvl w:val="0"/>
          <w:numId w:val="21"/>
        </w:numPr>
      </w:pPr>
      <w:proofErr w:type="spellStart"/>
      <w:r w:rsidRPr="00CE7671">
        <w:t>Quintos</w:t>
      </w:r>
      <w:proofErr w:type="spellEnd"/>
      <w:r w:rsidRPr="00CE7671">
        <w:t xml:space="preserve"> JB, </w:t>
      </w:r>
      <w:proofErr w:type="spellStart"/>
      <w:r w:rsidRPr="00CE7671">
        <w:t>Vogiatzi</w:t>
      </w:r>
      <w:proofErr w:type="spellEnd"/>
      <w:r w:rsidRPr="00CE7671">
        <w:t xml:space="preserve"> MG, Harbison MD, et al. Growth hormone therapy alone or in combination with gonadotropin-releasing hormone analog therapy to improve the height deficit in children with congenital adrenal hyperplasia. </w:t>
      </w:r>
      <w:r w:rsidRPr="00FD2705">
        <w:t xml:space="preserve">J Clin Endocrinol </w:t>
      </w:r>
      <w:proofErr w:type="spellStart"/>
      <w:r w:rsidRPr="00FD2705">
        <w:t>Metab</w:t>
      </w:r>
      <w:proofErr w:type="spellEnd"/>
      <w:r w:rsidRPr="00CE7671">
        <w:t xml:space="preserve">. </w:t>
      </w:r>
      <w:proofErr w:type="gramStart"/>
      <w:r w:rsidRPr="00CE7671">
        <w:t>2001;86:1511</w:t>
      </w:r>
      <w:proofErr w:type="gramEnd"/>
      <w:r w:rsidRPr="00CE7671">
        <w:t>-1517.</w:t>
      </w:r>
    </w:p>
    <w:p w14:paraId="76584752" w14:textId="740DD1F4" w:rsidR="006165EE" w:rsidRPr="00CE7671" w:rsidRDefault="006165EE" w:rsidP="00A94017">
      <w:pPr>
        <w:pStyle w:val="ReferenceOrdered"/>
        <w:numPr>
          <w:ilvl w:val="0"/>
          <w:numId w:val="21"/>
        </w:numPr>
      </w:pPr>
      <w:r w:rsidRPr="00CE7671">
        <w:t xml:space="preserve">Tanaka T, Satoh M, </w:t>
      </w:r>
      <w:proofErr w:type="spellStart"/>
      <w:r w:rsidRPr="00CE7671">
        <w:t>Yasunaga</w:t>
      </w:r>
      <w:proofErr w:type="spellEnd"/>
      <w:r w:rsidRPr="00CE7671">
        <w:t xml:space="preserve"> T, et al. GH and GnRH analog treatment in children who enter puberty at short stature. </w:t>
      </w:r>
      <w:r w:rsidRPr="00FD2705">
        <w:t xml:space="preserve">J </w:t>
      </w:r>
      <w:proofErr w:type="spellStart"/>
      <w:r w:rsidRPr="00FD2705">
        <w:t>Pediatr</w:t>
      </w:r>
      <w:proofErr w:type="spellEnd"/>
      <w:r w:rsidRPr="00FD2705">
        <w:t xml:space="preserve"> Endocrinol </w:t>
      </w:r>
      <w:proofErr w:type="spellStart"/>
      <w:r w:rsidRPr="00FD2705">
        <w:t>Metab</w:t>
      </w:r>
      <w:proofErr w:type="spellEnd"/>
      <w:r w:rsidRPr="00CE7671">
        <w:t xml:space="preserve">. </w:t>
      </w:r>
      <w:proofErr w:type="gramStart"/>
      <w:r w:rsidRPr="00CE7671">
        <w:t>1997;10:623</w:t>
      </w:r>
      <w:proofErr w:type="gramEnd"/>
      <w:r w:rsidRPr="00CE7671">
        <w:t>-628.</w:t>
      </w:r>
    </w:p>
    <w:p w14:paraId="33B5112C" w14:textId="12DBE99B" w:rsidR="006165EE" w:rsidRPr="00CE7671" w:rsidRDefault="006165EE" w:rsidP="00A94017">
      <w:pPr>
        <w:pStyle w:val="ReferenceOrdered"/>
        <w:numPr>
          <w:ilvl w:val="0"/>
          <w:numId w:val="21"/>
        </w:numPr>
      </w:pPr>
      <w:r w:rsidRPr="00CE7671">
        <w:lastRenderedPageBreak/>
        <w:t>The NCCN Drugs &amp; Biologics Compendium</w:t>
      </w:r>
      <w:r w:rsidRPr="00CE7671">
        <w:rPr>
          <w:vertAlign w:val="superscript"/>
        </w:rPr>
        <w:t>®</w:t>
      </w:r>
      <w:r w:rsidRPr="00CE7671">
        <w:t xml:space="preserve"> © </w:t>
      </w:r>
      <w:r w:rsidR="00CC64BD" w:rsidRPr="00CE7671">
        <w:t xml:space="preserve">2024 </w:t>
      </w:r>
      <w:r w:rsidRPr="00CE7671">
        <w:t xml:space="preserve">National Comprehensive Cancer Network, Inc. http://www.nccn.org. Accessed </w:t>
      </w:r>
      <w:r w:rsidR="00E85F9B" w:rsidRPr="00CE7671">
        <w:t>February 13, 2024</w:t>
      </w:r>
      <w:r w:rsidRPr="00CE7671">
        <w:t>.</w:t>
      </w:r>
    </w:p>
    <w:p w14:paraId="44608C8A" w14:textId="199DAA51" w:rsidR="006165EE" w:rsidRPr="00CE7671" w:rsidRDefault="006165EE" w:rsidP="00A94017">
      <w:pPr>
        <w:pStyle w:val="ReferenceOrdered"/>
        <w:numPr>
          <w:ilvl w:val="0"/>
          <w:numId w:val="21"/>
        </w:numPr>
      </w:pPr>
      <w:proofErr w:type="spellStart"/>
      <w:r w:rsidRPr="00CE7671">
        <w:t>Urman</w:t>
      </w:r>
      <w:proofErr w:type="spellEnd"/>
      <w:r w:rsidRPr="00CE7671">
        <w:t xml:space="preserve"> B, Yakin K. Ovulatory disorders and infertility. </w:t>
      </w:r>
      <w:r w:rsidRPr="00FD2705">
        <w:t xml:space="preserve">J </w:t>
      </w:r>
      <w:proofErr w:type="spellStart"/>
      <w:r w:rsidRPr="00FD2705">
        <w:t>Reprod</w:t>
      </w:r>
      <w:proofErr w:type="spellEnd"/>
      <w:r w:rsidRPr="00FD2705">
        <w:t xml:space="preserve"> Med</w:t>
      </w:r>
      <w:r w:rsidRPr="00CE7671">
        <w:t>. 2006;51(4):267-282.</w:t>
      </w:r>
    </w:p>
    <w:p w14:paraId="46FC75E1" w14:textId="64338131" w:rsidR="006165EE" w:rsidRPr="00CE7671" w:rsidRDefault="006165EE" w:rsidP="00A94017">
      <w:pPr>
        <w:pStyle w:val="ReferenceOrdered"/>
        <w:numPr>
          <w:ilvl w:val="0"/>
          <w:numId w:val="21"/>
        </w:numPr>
      </w:pPr>
      <w:r w:rsidRPr="00CE7671">
        <w:t>National Institute for Health and Clinical Excellence (NICE). Guideline on assessment and treatment for people with fertility problems.</w:t>
      </w:r>
      <w:r w:rsidRPr="00CE7671">
        <w:rPr>
          <w:rFonts w:ascii="Arial" w:hAnsi="Arial"/>
        </w:rPr>
        <w:t> </w:t>
      </w:r>
      <w:r w:rsidRPr="00CE7671">
        <w:t xml:space="preserve">NICE </w:t>
      </w:r>
      <w:r w:rsidR="007F5B4F" w:rsidRPr="00CE7671">
        <w:t xml:space="preserve">2017 </w:t>
      </w:r>
      <w:r w:rsidRPr="00CE7671">
        <w:t xml:space="preserve">Feb </w:t>
      </w:r>
      <w:r w:rsidR="00D23FBE" w:rsidRPr="00CE7671">
        <w:t>6</w:t>
      </w:r>
      <w:r w:rsidRPr="00CE7671">
        <w:t>:CG156.</w:t>
      </w:r>
    </w:p>
    <w:p w14:paraId="5E431A38" w14:textId="21AB6770" w:rsidR="006165EE" w:rsidRPr="00CE7671" w:rsidRDefault="006165EE" w:rsidP="00A94017">
      <w:pPr>
        <w:pStyle w:val="ReferenceOrdered"/>
        <w:numPr>
          <w:ilvl w:val="0"/>
          <w:numId w:val="21"/>
        </w:numPr>
      </w:pPr>
      <w:r w:rsidRPr="00CE7671">
        <w:t xml:space="preserve">Casper RF. Reducing the Risk of OHSS by GnRH Agonist Triggering. </w:t>
      </w:r>
      <w:r w:rsidRPr="00FD2705">
        <w:t xml:space="preserve">J Clin Endocrinol </w:t>
      </w:r>
      <w:proofErr w:type="spellStart"/>
      <w:r w:rsidRPr="00FD2705">
        <w:t>Metab</w:t>
      </w:r>
      <w:proofErr w:type="spellEnd"/>
      <w:r w:rsidRPr="00FD2705">
        <w:t xml:space="preserve">. </w:t>
      </w:r>
      <w:r w:rsidRPr="00CE7671">
        <w:t>2015;100(12):4396-8</w:t>
      </w:r>
      <w:r w:rsidR="005B334B">
        <w:t>.</w:t>
      </w:r>
    </w:p>
    <w:p w14:paraId="4F51BC3F" w14:textId="671A4573" w:rsidR="006165EE" w:rsidRPr="00CE7671" w:rsidRDefault="006165EE" w:rsidP="00A94017">
      <w:pPr>
        <w:pStyle w:val="ReferenceOrdered"/>
        <w:numPr>
          <w:ilvl w:val="0"/>
          <w:numId w:val="21"/>
        </w:numPr>
      </w:pPr>
      <w:r w:rsidRPr="00CE7671">
        <w:rPr>
          <w:lang w:val="pt-BR"/>
        </w:rPr>
        <w:t xml:space="preserve">Cheuiche AV, da Silveira LG, de Paula LCP, et al. </w:t>
      </w:r>
      <w:r w:rsidRPr="00CE7671">
        <w:t xml:space="preserve">Diagnosis and management of precocious sexual maturation: an updated review. </w:t>
      </w:r>
      <w:proofErr w:type="spellStart"/>
      <w:r w:rsidRPr="00FD2705">
        <w:t>Eur</w:t>
      </w:r>
      <w:proofErr w:type="spellEnd"/>
      <w:r w:rsidRPr="00FD2705">
        <w:t xml:space="preserve"> J </w:t>
      </w:r>
      <w:proofErr w:type="spellStart"/>
      <w:r w:rsidRPr="00FD2705">
        <w:t>Pediatr</w:t>
      </w:r>
      <w:proofErr w:type="spellEnd"/>
      <w:r w:rsidRPr="00CE7671">
        <w:t>. 2021;180(10):3073-3087.</w:t>
      </w:r>
    </w:p>
    <w:p w14:paraId="26E25A0F" w14:textId="6917A125" w:rsidR="00FF66BF" w:rsidRPr="00CE7671" w:rsidRDefault="006165EE" w:rsidP="00A94017">
      <w:pPr>
        <w:pStyle w:val="ReferenceOrdered"/>
        <w:numPr>
          <w:ilvl w:val="0"/>
          <w:numId w:val="21"/>
        </w:numPr>
      </w:pPr>
      <w:r w:rsidRPr="00CE7671">
        <w:t xml:space="preserve">Practice Committee of the American Society for Reproductive Medicine. Prevention and treatment of moderate and severe ovarian hyperstimulation syndrome: a guideline. </w:t>
      </w:r>
      <w:proofErr w:type="spellStart"/>
      <w:r w:rsidRPr="00FD2705">
        <w:t>Fertil</w:t>
      </w:r>
      <w:proofErr w:type="spellEnd"/>
      <w:r w:rsidRPr="00FD2705">
        <w:t xml:space="preserve"> &amp; </w:t>
      </w:r>
      <w:proofErr w:type="spellStart"/>
      <w:r w:rsidRPr="00FD2705">
        <w:t>Steril</w:t>
      </w:r>
      <w:proofErr w:type="spellEnd"/>
      <w:r w:rsidRPr="00FD2705">
        <w:t>.</w:t>
      </w:r>
      <w:r w:rsidRPr="00CE7671">
        <w:t xml:space="preserve"> 2016. 106(7):1634-1647</w:t>
      </w:r>
      <w:r w:rsidR="008C282C">
        <w:t>.</w:t>
      </w:r>
    </w:p>
    <w:p w14:paraId="6AEBC961" w14:textId="52C53EEE" w:rsidR="00BE4DBA" w:rsidRDefault="00BE4DBA" w:rsidP="00A94017">
      <w:pPr>
        <w:pStyle w:val="ReferenceOrdered"/>
        <w:numPr>
          <w:ilvl w:val="0"/>
          <w:numId w:val="21"/>
        </w:numPr>
      </w:pPr>
      <w:r w:rsidRPr="00CE7671">
        <w:t>NCCN Clinical Practice Guidelines in Oncology (NCCN Guidelines): Head and Neck Cancers. Version 2.2024. Accessed February 15, 2024. https://www.nccn.org/professionals/physician_gls/pdf/head-and-neck.pdf.</w:t>
      </w:r>
    </w:p>
    <w:p w14:paraId="7B6F9DBF" w14:textId="11F0236C" w:rsidR="00963594" w:rsidRDefault="00963594" w:rsidP="00A94017">
      <w:pPr>
        <w:pStyle w:val="ReferenceOrdered"/>
        <w:numPr>
          <w:ilvl w:val="0"/>
          <w:numId w:val="21"/>
        </w:numPr>
      </w:pPr>
      <w:r>
        <w:t xml:space="preserve">Popovic J, </w:t>
      </w:r>
      <w:proofErr w:type="spellStart"/>
      <w:r>
        <w:t>Geffner</w:t>
      </w:r>
      <w:proofErr w:type="spellEnd"/>
      <w:r>
        <w:t xml:space="preserve"> ME, </w:t>
      </w:r>
      <w:proofErr w:type="spellStart"/>
      <w:r>
        <w:t>Rogol</w:t>
      </w:r>
      <w:proofErr w:type="spellEnd"/>
      <w:r>
        <w:t xml:space="preserve"> AD, et al. Gonadotropin-releasing hormone analog therapies for children with central precocious puberty in the United States. Front </w:t>
      </w:r>
      <w:proofErr w:type="spellStart"/>
      <w:r>
        <w:t>Pediar</w:t>
      </w:r>
      <w:proofErr w:type="spellEnd"/>
      <w:r>
        <w:t xml:space="preserve">. </w:t>
      </w:r>
      <w:proofErr w:type="gramStart"/>
      <w:r>
        <w:t>2022;10:968485</w:t>
      </w:r>
      <w:proofErr w:type="gramEnd"/>
      <w:r>
        <w:t>. doi:10.3389/fped.2022.968485</w:t>
      </w:r>
    </w:p>
    <w:sectPr w:rsidR="00963594"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47647" w14:textId="77777777" w:rsidR="00572AD6" w:rsidRDefault="00572AD6">
      <w:r>
        <w:separator/>
      </w:r>
    </w:p>
  </w:endnote>
  <w:endnote w:type="continuationSeparator" w:id="0">
    <w:p w14:paraId="0469BBB4" w14:textId="77777777" w:rsidR="00572AD6" w:rsidRDefault="00572AD6">
      <w:r>
        <w:continuationSeparator/>
      </w:r>
    </w:p>
  </w:endnote>
  <w:endnote w:type="continuationNotice" w:id="1">
    <w:p w14:paraId="65C275DF" w14:textId="77777777" w:rsidR="00572AD6" w:rsidRDefault="00572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512DB2D"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03D6E" w:rsidRPr="00403D6E">
      <w:rPr>
        <w:rFonts w:cs="Arial"/>
        <w:noProof/>
        <w:sz w:val="16"/>
        <w:szCs w:val="16"/>
      </w:rPr>
      <w:t>Leuprolide</w:t>
    </w:r>
    <w:r w:rsidR="00403D6E">
      <w:rPr>
        <w:rFonts w:cs="Arial"/>
        <w:noProof/>
        <w:snapToGrid w:val="0"/>
        <w:color w:val="000000"/>
        <w:sz w:val="16"/>
        <w:szCs w:val="16"/>
      </w:rPr>
      <w:t xml:space="preserve"> SGM 1989-A</w:t>
    </w:r>
    <w:r w:rsidR="00403D6E" w:rsidRPr="00403D6E">
      <w:rPr>
        <w:rFonts w:cs="Arial"/>
        <w:noProof/>
        <w:sz w:val="16"/>
        <w:szCs w:val="16"/>
      </w:rPr>
      <w:t xml:space="preserve"> 1990-A</w:t>
    </w:r>
    <w:r w:rsidR="00403D6E">
      <w:rPr>
        <w:rFonts w:cs="Arial"/>
        <w:noProof/>
        <w:snapToGrid w:val="0"/>
        <w:color w:val="000000"/>
        <w:sz w:val="16"/>
        <w:szCs w:val="16"/>
      </w:rPr>
      <w:t xml:space="preserve"> 2117-A P2025.docx</w:t>
    </w:r>
    <w:r w:rsidRPr="00EC47B6">
      <w:rPr>
        <w:rFonts w:cs="Arial"/>
        <w:noProof/>
        <w:sz w:val="16"/>
        <w:szCs w:val="16"/>
      </w:rPr>
      <w:fldChar w:fldCharType="end"/>
    </w:r>
    <w:r w:rsidRPr="00EC47B6">
      <w:rPr>
        <w:rFonts w:cs="Arial"/>
        <w:snapToGrid w:val="0"/>
        <w:color w:val="000000"/>
        <w:sz w:val="16"/>
      </w:rPr>
      <w:tab/>
      <w:t>© 202</w:t>
    </w:r>
    <w:r w:rsidR="00F43ECA">
      <w:rPr>
        <w:rFonts w:cs="Arial"/>
        <w:snapToGrid w:val="0"/>
        <w:color w:val="000000"/>
        <w:sz w:val="16"/>
      </w:rPr>
      <w:t>5</w:t>
    </w:r>
    <w:r w:rsidRPr="00EC47B6">
      <w:rPr>
        <w:rFonts w:cs="Arial"/>
        <w:snapToGrid w:val="0"/>
        <w:color w:val="000000"/>
        <w:sz w:val="16"/>
      </w:rPr>
      <w:t xml:space="preserve"> CVS Caremark. All rights reserved.</w:t>
    </w:r>
  </w:p>
  <w:p w14:paraId="61CF5924" w14:textId="622553C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4D81451" w:rsidR="00F75C81" w:rsidRPr="00AA1E6A" w:rsidRDefault="00C36B72" w:rsidP="007057A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2BD340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03D6E" w:rsidRPr="00403D6E">
      <w:rPr>
        <w:rFonts w:cs="Arial"/>
        <w:noProof/>
        <w:sz w:val="16"/>
        <w:szCs w:val="16"/>
      </w:rPr>
      <w:t>Leuprolide</w:t>
    </w:r>
    <w:r w:rsidR="00403D6E">
      <w:rPr>
        <w:rFonts w:cs="Arial"/>
        <w:noProof/>
        <w:snapToGrid w:val="0"/>
        <w:color w:val="000000"/>
        <w:sz w:val="16"/>
        <w:szCs w:val="16"/>
      </w:rPr>
      <w:t xml:space="preserve"> SGM 1989-A</w:t>
    </w:r>
    <w:r w:rsidR="00403D6E" w:rsidRPr="00403D6E">
      <w:rPr>
        <w:rFonts w:cs="Arial"/>
        <w:noProof/>
        <w:sz w:val="16"/>
        <w:szCs w:val="16"/>
      </w:rPr>
      <w:t xml:space="preserve"> 1990-A</w:t>
    </w:r>
    <w:r w:rsidR="00403D6E">
      <w:rPr>
        <w:rFonts w:cs="Arial"/>
        <w:noProof/>
        <w:snapToGrid w:val="0"/>
        <w:color w:val="000000"/>
        <w:sz w:val="16"/>
        <w:szCs w:val="16"/>
      </w:rPr>
      <w:t xml:space="preserve"> 2117-A P2025.docx</w:t>
    </w:r>
    <w:r w:rsidRPr="00EC47B6">
      <w:rPr>
        <w:rFonts w:cs="Arial"/>
        <w:noProof/>
        <w:sz w:val="16"/>
        <w:szCs w:val="16"/>
      </w:rPr>
      <w:fldChar w:fldCharType="end"/>
    </w:r>
    <w:r w:rsidRPr="00EC47B6">
      <w:rPr>
        <w:rFonts w:cs="Arial"/>
        <w:snapToGrid w:val="0"/>
        <w:color w:val="000000"/>
        <w:sz w:val="16"/>
      </w:rPr>
      <w:tab/>
      <w:t>© 202</w:t>
    </w:r>
    <w:r w:rsidR="00B57547">
      <w:rPr>
        <w:rFonts w:cs="Arial"/>
        <w:snapToGrid w:val="0"/>
        <w:color w:val="000000"/>
        <w:sz w:val="16"/>
      </w:rPr>
      <w:t>5</w:t>
    </w:r>
    <w:r w:rsidRPr="00EC47B6">
      <w:rPr>
        <w:rFonts w:cs="Arial"/>
        <w:snapToGrid w:val="0"/>
        <w:color w:val="000000"/>
        <w:sz w:val="16"/>
      </w:rPr>
      <w:t xml:space="preserve"> CVS Caremark. All rights reserved.</w:t>
    </w:r>
  </w:p>
  <w:p w14:paraId="39BFE579" w14:textId="663718F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44C35DE" w:rsidR="00ED04EC" w:rsidRPr="00F50D98" w:rsidRDefault="00F50D98" w:rsidP="007057A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0CE04" w14:textId="77777777" w:rsidR="00572AD6" w:rsidRDefault="00572AD6">
      <w:r>
        <w:separator/>
      </w:r>
    </w:p>
  </w:footnote>
  <w:footnote w:type="continuationSeparator" w:id="0">
    <w:p w14:paraId="1D58176E" w14:textId="77777777" w:rsidR="00572AD6" w:rsidRDefault="00572AD6">
      <w:r>
        <w:continuationSeparator/>
      </w:r>
    </w:p>
  </w:footnote>
  <w:footnote w:type="continuationNotice" w:id="1">
    <w:p w14:paraId="0632B83A" w14:textId="77777777" w:rsidR="00572AD6" w:rsidRDefault="00572A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949"/>
    </w:tblGrid>
    <w:tr w:rsidR="00ED04EC" w:rsidRPr="00ED04EC" w14:paraId="16262E63" w14:textId="77777777" w:rsidTr="00666C30">
      <w:trPr>
        <w:trHeight w:val="144"/>
        <w:jc w:val="right"/>
      </w:trPr>
      <w:tc>
        <w:tcPr>
          <w:tcW w:w="1949"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666C30">
      <w:trPr>
        <w:trHeight w:val="378"/>
        <w:jc w:val="right"/>
      </w:trPr>
      <w:tc>
        <w:tcPr>
          <w:tcW w:w="1949" w:type="dxa"/>
          <w:hideMark/>
        </w:tcPr>
        <w:p w14:paraId="51CE3E64" w14:textId="2642B522" w:rsidR="00ED04EC" w:rsidRPr="007057AA" w:rsidRDefault="005A5A8D" w:rsidP="00ED04EC">
          <w:pPr>
            <w:pStyle w:val="Header"/>
            <w:rPr>
              <w:rFonts w:cs="Arial"/>
              <w:sz w:val="16"/>
              <w:szCs w:val="16"/>
            </w:rPr>
          </w:pPr>
          <w:r>
            <w:rPr>
              <w:rFonts w:cs="Arial"/>
              <w:sz w:val="16"/>
              <w:szCs w:val="16"/>
            </w:rPr>
            <w:t>1989-A, 1990-A, 2117-A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2C7E2762" w:rsidR="000F5383" w:rsidRPr="00FF66BF" w:rsidRDefault="00BB6D0E" w:rsidP="009E1F57">
          <w:pPr>
            <w:pStyle w:val="RefTableHeader"/>
          </w:pPr>
          <w:r w:rsidRPr="00BB6D0E">
            <w:t>1989-A, 1990-A, 2117-A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30432D8"/>
    <w:multiLevelType w:val="hybridMultilevel"/>
    <w:tmpl w:val="98CAF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654ED7"/>
    <w:multiLevelType w:val="hybridMultilevel"/>
    <w:tmpl w:val="EFB4918C"/>
    <w:lvl w:ilvl="0" w:tplc="04090015">
      <w:start w:val="1"/>
      <w:numFmt w:val="upp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11589570">
    <w:abstractNumId w:val="18"/>
  </w:num>
  <w:num w:numId="3" w16cid:durableId="766777065">
    <w:abstractNumId w:val="9"/>
  </w:num>
  <w:num w:numId="4" w16cid:durableId="1191800873">
    <w:abstractNumId w:val="7"/>
  </w:num>
  <w:num w:numId="5" w16cid:durableId="1946840854">
    <w:abstractNumId w:val="6"/>
  </w:num>
  <w:num w:numId="6" w16cid:durableId="857428209">
    <w:abstractNumId w:val="5"/>
  </w:num>
  <w:num w:numId="7" w16cid:durableId="1566572940">
    <w:abstractNumId w:val="4"/>
  </w:num>
  <w:num w:numId="8" w16cid:durableId="1775905588">
    <w:abstractNumId w:val="8"/>
  </w:num>
  <w:num w:numId="9" w16cid:durableId="1108695228">
    <w:abstractNumId w:val="3"/>
  </w:num>
  <w:num w:numId="10" w16cid:durableId="200215697">
    <w:abstractNumId w:val="2"/>
  </w:num>
  <w:num w:numId="11" w16cid:durableId="414789896">
    <w:abstractNumId w:val="1"/>
  </w:num>
  <w:num w:numId="12" w16cid:durableId="1872957897">
    <w:abstractNumId w:val="0"/>
  </w:num>
  <w:num w:numId="13" w16cid:durableId="1653175460">
    <w:abstractNumId w:val="12"/>
  </w:num>
  <w:num w:numId="14" w16cid:durableId="616722934">
    <w:abstractNumId w:val="10"/>
  </w:num>
  <w:num w:numId="15" w16cid:durableId="898320195">
    <w:abstractNumId w:val="16"/>
  </w:num>
  <w:num w:numId="16" w16cid:durableId="2128498676">
    <w:abstractNumId w:val="20"/>
  </w:num>
  <w:num w:numId="17" w16cid:durableId="299724409">
    <w:abstractNumId w:val="19"/>
  </w:num>
  <w:num w:numId="18" w16cid:durableId="214585573">
    <w:abstractNumId w:val="14"/>
  </w:num>
  <w:num w:numId="19" w16cid:durableId="1066490929">
    <w:abstractNumId w:val="21"/>
  </w:num>
  <w:num w:numId="20" w16cid:durableId="1538157941">
    <w:abstractNumId w:val="17"/>
  </w:num>
  <w:num w:numId="21" w16cid:durableId="2003313069">
    <w:abstractNumId w:val="13"/>
  </w:num>
  <w:num w:numId="22" w16cid:durableId="75100707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55F"/>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4393"/>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35BF"/>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3DDE"/>
    <w:rsid w:val="00064347"/>
    <w:rsid w:val="00064396"/>
    <w:rsid w:val="00065AC6"/>
    <w:rsid w:val="00066D4B"/>
    <w:rsid w:val="0006765E"/>
    <w:rsid w:val="00067732"/>
    <w:rsid w:val="0006774C"/>
    <w:rsid w:val="00067F3F"/>
    <w:rsid w:val="00070758"/>
    <w:rsid w:val="00070C48"/>
    <w:rsid w:val="000710A2"/>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456"/>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185D"/>
    <w:rsid w:val="000C2343"/>
    <w:rsid w:val="000C28E8"/>
    <w:rsid w:val="000C3B5A"/>
    <w:rsid w:val="000C5A6F"/>
    <w:rsid w:val="000C625F"/>
    <w:rsid w:val="000C661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4AFF"/>
    <w:rsid w:val="000E65C5"/>
    <w:rsid w:val="000E6D53"/>
    <w:rsid w:val="000E7263"/>
    <w:rsid w:val="000E7B01"/>
    <w:rsid w:val="000E7C60"/>
    <w:rsid w:val="000F0AC9"/>
    <w:rsid w:val="000F1039"/>
    <w:rsid w:val="000F1FBC"/>
    <w:rsid w:val="000F2A45"/>
    <w:rsid w:val="000F3023"/>
    <w:rsid w:val="000F41E3"/>
    <w:rsid w:val="000F4745"/>
    <w:rsid w:val="000F5383"/>
    <w:rsid w:val="000F595B"/>
    <w:rsid w:val="000F5A0F"/>
    <w:rsid w:val="000F61E0"/>
    <w:rsid w:val="000F677F"/>
    <w:rsid w:val="000F69A0"/>
    <w:rsid w:val="000F6E71"/>
    <w:rsid w:val="000F75BA"/>
    <w:rsid w:val="001012A6"/>
    <w:rsid w:val="00101748"/>
    <w:rsid w:val="00101C90"/>
    <w:rsid w:val="00101D40"/>
    <w:rsid w:val="0010247F"/>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0F"/>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9D7"/>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4DB8"/>
    <w:rsid w:val="001955BB"/>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01A"/>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1D85"/>
    <w:rsid w:val="001D202E"/>
    <w:rsid w:val="001D2253"/>
    <w:rsid w:val="001D2E27"/>
    <w:rsid w:val="001D3206"/>
    <w:rsid w:val="001D36C8"/>
    <w:rsid w:val="001D42E6"/>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BBA"/>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56C"/>
    <w:rsid w:val="002338A0"/>
    <w:rsid w:val="00233FF2"/>
    <w:rsid w:val="002341EB"/>
    <w:rsid w:val="0023423A"/>
    <w:rsid w:val="002346E7"/>
    <w:rsid w:val="00235900"/>
    <w:rsid w:val="00235A26"/>
    <w:rsid w:val="00235ADF"/>
    <w:rsid w:val="00235FEF"/>
    <w:rsid w:val="00240005"/>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739"/>
    <w:rsid w:val="00255903"/>
    <w:rsid w:val="002568ED"/>
    <w:rsid w:val="00260902"/>
    <w:rsid w:val="00260A91"/>
    <w:rsid w:val="00261738"/>
    <w:rsid w:val="00261F81"/>
    <w:rsid w:val="0026235F"/>
    <w:rsid w:val="00262630"/>
    <w:rsid w:val="00262CE0"/>
    <w:rsid w:val="0026318E"/>
    <w:rsid w:val="00263B4A"/>
    <w:rsid w:val="00263D81"/>
    <w:rsid w:val="00264713"/>
    <w:rsid w:val="00265457"/>
    <w:rsid w:val="00265727"/>
    <w:rsid w:val="00265B2A"/>
    <w:rsid w:val="00265E1F"/>
    <w:rsid w:val="00265FEB"/>
    <w:rsid w:val="0026630E"/>
    <w:rsid w:val="0026796B"/>
    <w:rsid w:val="00267A90"/>
    <w:rsid w:val="00267FB5"/>
    <w:rsid w:val="002708AE"/>
    <w:rsid w:val="00271357"/>
    <w:rsid w:val="00272160"/>
    <w:rsid w:val="00272D78"/>
    <w:rsid w:val="00273E66"/>
    <w:rsid w:val="00273FEB"/>
    <w:rsid w:val="00274477"/>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3900"/>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3D1"/>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37A"/>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6A2"/>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42A5"/>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C7A"/>
    <w:rsid w:val="00350DF1"/>
    <w:rsid w:val="003524E5"/>
    <w:rsid w:val="00352959"/>
    <w:rsid w:val="00352B5E"/>
    <w:rsid w:val="00352BC7"/>
    <w:rsid w:val="00352BCD"/>
    <w:rsid w:val="003543BE"/>
    <w:rsid w:val="00354AE7"/>
    <w:rsid w:val="00354CFD"/>
    <w:rsid w:val="00355509"/>
    <w:rsid w:val="00355DCF"/>
    <w:rsid w:val="003569BC"/>
    <w:rsid w:val="003608FE"/>
    <w:rsid w:val="00360F75"/>
    <w:rsid w:val="00361AEE"/>
    <w:rsid w:val="00362854"/>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301"/>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4EA"/>
    <w:rsid w:val="0038594B"/>
    <w:rsid w:val="00385C81"/>
    <w:rsid w:val="00386F82"/>
    <w:rsid w:val="0039012A"/>
    <w:rsid w:val="003904B1"/>
    <w:rsid w:val="00390BD4"/>
    <w:rsid w:val="00391311"/>
    <w:rsid w:val="003915B9"/>
    <w:rsid w:val="00391A39"/>
    <w:rsid w:val="00391F5A"/>
    <w:rsid w:val="00391FDF"/>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A97"/>
    <w:rsid w:val="003B2B19"/>
    <w:rsid w:val="003B4BC1"/>
    <w:rsid w:val="003B4FB6"/>
    <w:rsid w:val="003B5A8C"/>
    <w:rsid w:val="003B5C47"/>
    <w:rsid w:val="003B6158"/>
    <w:rsid w:val="003B7DE9"/>
    <w:rsid w:val="003C1EA0"/>
    <w:rsid w:val="003C2846"/>
    <w:rsid w:val="003C29AD"/>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30E"/>
    <w:rsid w:val="003E6FC2"/>
    <w:rsid w:val="003E7191"/>
    <w:rsid w:val="003E7944"/>
    <w:rsid w:val="003F057E"/>
    <w:rsid w:val="003F1304"/>
    <w:rsid w:val="003F21EE"/>
    <w:rsid w:val="003F2C67"/>
    <w:rsid w:val="003F5824"/>
    <w:rsid w:val="003F61E0"/>
    <w:rsid w:val="003F641B"/>
    <w:rsid w:val="003F6B36"/>
    <w:rsid w:val="003F75BB"/>
    <w:rsid w:val="003F7A17"/>
    <w:rsid w:val="0040096F"/>
    <w:rsid w:val="00401820"/>
    <w:rsid w:val="00402C8F"/>
    <w:rsid w:val="00402FED"/>
    <w:rsid w:val="00403087"/>
    <w:rsid w:val="004032A5"/>
    <w:rsid w:val="00403D6E"/>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560"/>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3C"/>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3B3"/>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18B"/>
    <w:rsid w:val="00477751"/>
    <w:rsid w:val="00480100"/>
    <w:rsid w:val="00480B9F"/>
    <w:rsid w:val="00481302"/>
    <w:rsid w:val="00481604"/>
    <w:rsid w:val="00482364"/>
    <w:rsid w:val="00482B30"/>
    <w:rsid w:val="00482C95"/>
    <w:rsid w:val="00482EC5"/>
    <w:rsid w:val="00483550"/>
    <w:rsid w:val="004837DF"/>
    <w:rsid w:val="00484717"/>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3C92"/>
    <w:rsid w:val="00494054"/>
    <w:rsid w:val="00494B52"/>
    <w:rsid w:val="00495ADE"/>
    <w:rsid w:val="0049611C"/>
    <w:rsid w:val="00496132"/>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9AD"/>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4F"/>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7DE"/>
    <w:rsid w:val="004F0A1D"/>
    <w:rsid w:val="004F1A5E"/>
    <w:rsid w:val="004F2E2A"/>
    <w:rsid w:val="004F34FF"/>
    <w:rsid w:val="004F37F3"/>
    <w:rsid w:val="004F3BBA"/>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1B56"/>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B3C"/>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AD6"/>
    <w:rsid w:val="00572BE3"/>
    <w:rsid w:val="00572C22"/>
    <w:rsid w:val="00573B96"/>
    <w:rsid w:val="0057408D"/>
    <w:rsid w:val="00574CC2"/>
    <w:rsid w:val="00574D98"/>
    <w:rsid w:val="005752E2"/>
    <w:rsid w:val="0057545A"/>
    <w:rsid w:val="00575FB1"/>
    <w:rsid w:val="00576DBE"/>
    <w:rsid w:val="00580455"/>
    <w:rsid w:val="005808CA"/>
    <w:rsid w:val="0058115C"/>
    <w:rsid w:val="0058173B"/>
    <w:rsid w:val="005820B6"/>
    <w:rsid w:val="00582153"/>
    <w:rsid w:val="005828B5"/>
    <w:rsid w:val="00582B42"/>
    <w:rsid w:val="00583227"/>
    <w:rsid w:val="00583342"/>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FC0"/>
    <w:rsid w:val="005A32D3"/>
    <w:rsid w:val="005A33BD"/>
    <w:rsid w:val="005A3D7E"/>
    <w:rsid w:val="005A4A78"/>
    <w:rsid w:val="005A4DFB"/>
    <w:rsid w:val="005A542C"/>
    <w:rsid w:val="005A5A8D"/>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334B"/>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3D4"/>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4E08"/>
    <w:rsid w:val="00606DBB"/>
    <w:rsid w:val="006077A7"/>
    <w:rsid w:val="00607959"/>
    <w:rsid w:val="0060798E"/>
    <w:rsid w:val="006108D0"/>
    <w:rsid w:val="00610F93"/>
    <w:rsid w:val="00610FBE"/>
    <w:rsid w:val="00613278"/>
    <w:rsid w:val="006138E0"/>
    <w:rsid w:val="00613BFA"/>
    <w:rsid w:val="00614799"/>
    <w:rsid w:val="00615D0E"/>
    <w:rsid w:val="006165E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687"/>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C30"/>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2CED"/>
    <w:rsid w:val="00693B34"/>
    <w:rsid w:val="00694B18"/>
    <w:rsid w:val="00694B30"/>
    <w:rsid w:val="00694B8A"/>
    <w:rsid w:val="00694C2D"/>
    <w:rsid w:val="00696389"/>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59C"/>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D90"/>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57AA"/>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5D74"/>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0EE"/>
    <w:rsid w:val="007469F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A6A"/>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873"/>
    <w:rsid w:val="00795B5C"/>
    <w:rsid w:val="00796193"/>
    <w:rsid w:val="007963DF"/>
    <w:rsid w:val="00796772"/>
    <w:rsid w:val="00796F80"/>
    <w:rsid w:val="00797128"/>
    <w:rsid w:val="00797531"/>
    <w:rsid w:val="007A05B6"/>
    <w:rsid w:val="007A141E"/>
    <w:rsid w:val="007A1AA9"/>
    <w:rsid w:val="007A3667"/>
    <w:rsid w:val="007A40F3"/>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02C"/>
    <w:rsid w:val="007C70BD"/>
    <w:rsid w:val="007C74F4"/>
    <w:rsid w:val="007D151B"/>
    <w:rsid w:val="007D197B"/>
    <w:rsid w:val="007D1C72"/>
    <w:rsid w:val="007D1E64"/>
    <w:rsid w:val="007D1EC9"/>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4F"/>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2BEF"/>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64EA"/>
    <w:rsid w:val="008571AA"/>
    <w:rsid w:val="0085784B"/>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08A9"/>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282C"/>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723C"/>
    <w:rsid w:val="008E07BA"/>
    <w:rsid w:val="008E0BDD"/>
    <w:rsid w:val="008E0F0D"/>
    <w:rsid w:val="008E1130"/>
    <w:rsid w:val="008E160B"/>
    <w:rsid w:val="008E170C"/>
    <w:rsid w:val="008E24FB"/>
    <w:rsid w:val="008E3173"/>
    <w:rsid w:val="008E40F9"/>
    <w:rsid w:val="008E4479"/>
    <w:rsid w:val="008E4958"/>
    <w:rsid w:val="008E510A"/>
    <w:rsid w:val="008E58BC"/>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895"/>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4D95"/>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5F0B"/>
    <w:rsid w:val="00956257"/>
    <w:rsid w:val="00956B1E"/>
    <w:rsid w:val="00957439"/>
    <w:rsid w:val="009576D1"/>
    <w:rsid w:val="009578A4"/>
    <w:rsid w:val="0096131B"/>
    <w:rsid w:val="00961529"/>
    <w:rsid w:val="00961854"/>
    <w:rsid w:val="00962152"/>
    <w:rsid w:val="009625E8"/>
    <w:rsid w:val="00963594"/>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C02"/>
    <w:rsid w:val="0097384C"/>
    <w:rsid w:val="009738C0"/>
    <w:rsid w:val="00974ED3"/>
    <w:rsid w:val="0097583A"/>
    <w:rsid w:val="00975E36"/>
    <w:rsid w:val="009767B4"/>
    <w:rsid w:val="00976A11"/>
    <w:rsid w:val="009778C5"/>
    <w:rsid w:val="00977BCF"/>
    <w:rsid w:val="00977F49"/>
    <w:rsid w:val="009817FD"/>
    <w:rsid w:val="00981EDA"/>
    <w:rsid w:val="00982365"/>
    <w:rsid w:val="00983568"/>
    <w:rsid w:val="009844BA"/>
    <w:rsid w:val="009857F1"/>
    <w:rsid w:val="00985A7D"/>
    <w:rsid w:val="00985EC8"/>
    <w:rsid w:val="00985F93"/>
    <w:rsid w:val="00986BF8"/>
    <w:rsid w:val="00986C82"/>
    <w:rsid w:val="00987108"/>
    <w:rsid w:val="00990204"/>
    <w:rsid w:val="009911F3"/>
    <w:rsid w:val="0099125F"/>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3B53"/>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6FE6"/>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5C1A"/>
    <w:rsid w:val="009E6C19"/>
    <w:rsid w:val="009E6E2F"/>
    <w:rsid w:val="009E76B2"/>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454"/>
    <w:rsid w:val="00A1366E"/>
    <w:rsid w:val="00A1468C"/>
    <w:rsid w:val="00A1485F"/>
    <w:rsid w:val="00A14BF4"/>
    <w:rsid w:val="00A14F1C"/>
    <w:rsid w:val="00A156C9"/>
    <w:rsid w:val="00A15AE5"/>
    <w:rsid w:val="00A16536"/>
    <w:rsid w:val="00A16E35"/>
    <w:rsid w:val="00A20159"/>
    <w:rsid w:val="00A20D4E"/>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2454"/>
    <w:rsid w:val="00A42576"/>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075"/>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4DC5"/>
    <w:rsid w:val="00A7520F"/>
    <w:rsid w:val="00A75835"/>
    <w:rsid w:val="00A75DAC"/>
    <w:rsid w:val="00A76771"/>
    <w:rsid w:val="00A774C2"/>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017"/>
    <w:rsid w:val="00A94105"/>
    <w:rsid w:val="00A946C6"/>
    <w:rsid w:val="00A94A0D"/>
    <w:rsid w:val="00A9526B"/>
    <w:rsid w:val="00A96256"/>
    <w:rsid w:val="00A96A09"/>
    <w:rsid w:val="00AA0354"/>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05"/>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FEC"/>
    <w:rsid w:val="00AD32D6"/>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9B5"/>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0A4"/>
    <w:rsid w:val="00B22693"/>
    <w:rsid w:val="00B227A5"/>
    <w:rsid w:val="00B22806"/>
    <w:rsid w:val="00B228EE"/>
    <w:rsid w:val="00B22EA6"/>
    <w:rsid w:val="00B22F3E"/>
    <w:rsid w:val="00B235ED"/>
    <w:rsid w:val="00B253A6"/>
    <w:rsid w:val="00B25C33"/>
    <w:rsid w:val="00B25E29"/>
    <w:rsid w:val="00B2662C"/>
    <w:rsid w:val="00B26C72"/>
    <w:rsid w:val="00B2719B"/>
    <w:rsid w:val="00B27B5A"/>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547"/>
    <w:rsid w:val="00B57C0E"/>
    <w:rsid w:val="00B61ED0"/>
    <w:rsid w:val="00B6319D"/>
    <w:rsid w:val="00B63692"/>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4E4"/>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0F7"/>
    <w:rsid w:val="00BA5E53"/>
    <w:rsid w:val="00BA759D"/>
    <w:rsid w:val="00BA7968"/>
    <w:rsid w:val="00BA7B15"/>
    <w:rsid w:val="00BB0320"/>
    <w:rsid w:val="00BB2668"/>
    <w:rsid w:val="00BB3275"/>
    <w:rsid w:val="00BB3604"/>
    <w:rsid w:val="00BB379D"/>
    <w:rsid w:val="00BB3F6D"/>
    <w:rsid w:val="00BB4131"/>
    <w:rsid w:val="00BB5B7E"/>
    <w:rsid w:val="00BB6239"/>
    <w:rsid w:val="00BB6D0E"/>
    <w:rsid w:val="00BB6FE9"/>
    <w:rsid w:val="00BC02EF"/>
    <w:rsid w:val="00BC12C8"/>
    <w:rsid w:val="00BC2111"/>
    <w:rsid w:val="00BC2848"/>
    <w:rsid w:val="00BC310C"/>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4DBA"/>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170"/>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681"/>
    <w:rsid w:val="00C418ED"/>
    <w:rsid w:val="00C41AFE"/>
    <w:rsid w:val="00C41E20"/>
    <w:rsid w:val="00C434A1"/>
    <w:rsid w:val="00C43760"/>
    <w:rsid w:val="00C43890"/>
    <w:rsid w:val="00C43D1B"/>
    <w:rsid w:val="00C44131"/>
    <w:rsid w:val="00C44990"/>
    <w:rsid w:val="00C44D11"/>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1D3C"/>
    <w:rsid w:val="00C846AC"/>
    <w:rsid w:val="00C8494C"/>
    <w:rsid w:val="00C85BB7"/>
    <w:rsid w:val="00C86B76"/>
    <w:rsid w:val="00C86EE2"/>
    <w:rsid w:val="00C87920"/>
    <w:rsid w:val="00C87C25"/>
    <w:rsid w:val="00C87D04"/>
    <w:rsid w:val="00C87D12"/>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496"/>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4F8"/>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4BD"/>
    <w:rsid w:val="00CC6AA8"/>
    <w:rsid w:val="00CC6D21"/>
    <w:rsid w:val="00CC76FA"/>
    <w:rsid w:val="00CD03D0"/>
    <w:rsid w:val="00CD04D5"/>
    <w:rsid w:val="00CD1B5B"/>
    <w:rsid w:val="00CD1D4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71"/>
    <w:rsid w:val="00CE76BE"/>
    <w:rsid w:val="00CF08AB"/>
    <w:rsid w:val="00CF0FEE"/>
    <w:rsid w:val="00CF2208"/>
    <w:rsid w:val="00CF2D11"/>
    <w:rsid w:val="00CF3649"/>
    <w:rsid w:val="00CF3A89"/>
    <w:rsid w:val="00CF3E91"/>
    <w:rsid w:val="00CF5BAA"/>
    <w:rsid w:val="00CF634A"/>
    <w:rsid w:val="00CF7282"/>
    <w:rsid w:val="00CF7853"/>
    <w:rsid w:val="00D00244"/>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0BB"/>
    <w:rsid w:val="00D07FF9"/>
    <w:rsid w:val="00D10EEE"/>
    <w:rsid w:val="00D11F16"/>
    <w:rsid w:val="00D123F7"/>
    <w:rsid w:val="00D1409F"/>
    <w:rsid w:val="00D140EE"/>
    <w:rsid w:val="00D14184"/>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3FBE"/>
    <w:rsid w:val="00D24201"/>
    <w:rsid w:val="00D24AC3"/>
    <w:rsid w:val="00D24F0F"/>
    <w:rsid w:val="00D24F6F"/>
    <w:rsid w:val="00D25BE2"/>
    <w:rsid w:val="00D261E4"/>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35E4"/>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5EE3"/>
    <w:rsid w:val="00D665CC"/>
    <w:rsid w:val="00D67252"/>
    <w:rsid w:val="00D70966"/>
    <w:rsid w:val="00D70C19"/>
    <w:rsid w:val="00D71176"/>
    <w:rsid w:val="00D71FF6"/>
    <w:rsid w:val="00D728D1"/>
    <w:rsid w:val="00D72E79"/>
    <w:rsid w:val="00D74279"/>
    <w:rsid w:val="00D75C30"/>
    <w:rsid w:val="00D76337"/>
    <w:rsid w:val="00D76468"/>
    <w:rsid w:val="00D7782A"/>
    <w:rsid w:val="00D77B7D"/>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B1A"/>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425"/>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1FCB"/>
    <w:rsid w:val="00E02122"/>
    <w:rsid w:val="00E02C3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68D"/>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2B3A"/>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371"/>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5F9B"/>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4C7E"/>
    <w:rsid w:val="00E9591C"/>
    <w:rsid w:val="00E95D04"/>
    <w:rsid w:val="00E96DA1"/>
    <w:rsid w:val="00E9746A"/>
    <w:rsid w:val="00E979F9"/>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A7769"/>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EB8"/>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3BA"/>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3F8"/>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4773"/>
    <w:rsid w:val="00F3569A"/>
    <w:rsid w:val="00F35823"/>
    <w:rsid w:val="00F35D8B"/>
    <w:rsid w:val="00F35DD8"/>
    <w:rsid w:val="00F36059"/>
    <w:rsid w:val="00F37823"/>
    <w:rsid w:val="00F3785E"/>
    <w:rsid w:val="00F3796F"/>
    <w:rsid w:val="00F37FBD"/>
    <w:rsid w:val="00F40B91"/>
    <w:rsid w:val="00F41186"/>
    <w:rsid w:val="00F42E4B"/>
    <w:rsid w:val="00F43BA8"/>
    <w:rsid w:val="00F43ECA"/>
    <w:rsid w:val="00F43F05"/>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60"/>
    <w:rsid w:val="00F56998"/>
    <w:rsid w:val="00F56BBE"/>
    <w:rsid w:val="00F579AF"/>
    <w:rsid w:val="00F6121D"/>
    <w:rsid w:val="00F6150C"/>
    <w:rsid w:val="00F61D08"/>
    <w:rsid w:val="00F624BA"/>
    <w:rsid w:val="00F62986"/>
    <w:rsid w:val="00F62CF0"/>
    <w:rsid w:val="00F63935"/>
    <w:rsid w:val="00F64146"/>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46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5DAC"/>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705"/>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19"/>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spacing w:after="0"/>
    </w:pPr>
  </w:style>
  <w:style w:type="paragraph" w:customStyle="1" w:styleId="Questionnaire">
    <w:name w:val="Questionnaire"/>
    <w:basedOn w:val="BodyText"/>
    <w:link w:val="QuestionnaireChar"/>
    <w:rsid w:val="0002595C"/>
    <w:pPr>
      <w:numPr>
        <w:numId w:val="2"/>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3"/>
      </w:numPr>
      <w:contextualSpacing/>
    </w:pPr>
  </w:style>
  <w:style w:type="paragraph" w:styleId="ListBullet2">
    <w:name w:val="List Bullet 2"/>
    <w:basedOn w:val="Normal"/>
    <w:rsid w:val="00FA3092"/>
    <w:pPr>
      <w:numPr>
        <w:numId w:val="4"/>
      </w:numPr>
      <w:contextualSpacing/>
    </w:pPr>
  </w:style>
  <w:style w:type="paragraph" w:styleId="ListBullet3">
    <w:name w:val="List Bullet 3"/>
    <w:basedOn w:val="Normal"/>
    <w:rsid w:val="00FA3092"/>
    <w:pPr>
      <w:numPr>
        <w:numId w:val="5"/>
      </w:numPr>
      <w:contextualSpacing/>
    </w:pPr>
  </w:style>
  <w:style w:type="paragraph" w:styleId="ListBullet4">
    <w:name w:val="List Bullet 4"/>
    <w:basedOn w:val="Normal"/>
    <w:rsid w:val="00FA3092"/>
    <w:pPr>
      <w:numPr>
        <w:numId w:val="6"/>
      </w:numPr>
      <w:contextualSpacing/>
    </w:pPr>
  </w:style>
  <w:style w:type="paragraph" w:styleId="ListBullet5">
    <w:name w:val="List Bullet 5"/>
    <w:basedOn w:val="Normal"/>
    <w:rsid w:val="00FA3092"/>
    <w:pPr>
      <w:numPr>
        <w:numId w:val="7"/>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8"/>
      </w:numPr>
      <w:contextualSpacing/>
    </w:pPr>
  </w:style>
  <w:style w:type="paragraph" w:styleId="ListNumber2">
    <w:name w:val="List Number 2"/>
    <w:basedOn w:val="Normal"/>
    <w:rsid w:val="00FA3092"/>
    <w:pPr>
      <w:numPr>
        <w:numId w:val="9"/>
      </w:numPr>
      <w:contextualSpacing/>
    </w:pPr>
  </w:style>
  <w:style w:type="paragraph" w:styleId="ListNumber3">
    <w:name w:val="List Number 3"/>
    <w:basedOn w:val="Normal"/>
    <w:rsid w:val="00FA3092"/>
    <w:pPr>
      <w:numPr>
        <w:numId w:val="10"/>
      </w:numPr>
      <w:contextualSpacing/>
    </w:pPr>
  </w:style>
  <w:style w:type="paragraph" w:styleId="ListNumber4">
    <w:name w:val="List Number 4"/>
    <w:basedOn w:val="Normal"/>
    <w:rsid w:val="00FA3092"/>
    <w:pPr>
      <w:numPr>
        <w:numId w:val="11"/>
      </w:numPr>
      <w:contextualSpacing/>
    </w:pPr>
  </w:style>
  <w:style w:type="paragraph" w:styleId="ListNumber5">
    <w:name w:val="List Number 5"/>
    <w:basedOn w:val="Normal"/>
    <w:rsid w:val="00FA3092"/>
    <w:pPr>
      <w:numPr>
        <w:numId w:val="12"/>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3"/>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4"/>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5"/>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8"/>
      </w:numPr>
    </w:pPr>
  </w:style>
  <w:style w:type="paragraph" w:customStyle="1" w:styleId="TableList">
    <w:name w:val="Table List"/>
    <w:basedOn w:val="BodyText"/>
    <w:link w:val="TableListChar"/>
    <w:qFormat/>
    <w:rsid w:val="00E738B8"/>
    <w:pPr>
      <w:numPr>
        <w:numId w:val="16"/>
      </w:numPr>
      <w:spacing w:after="0"/>
      <w:ind w:left="361" w:hanging="270"/>
    </w:pPr>
  </w:style>
  <w:style w:type="paragraph" w:customStyle="1" w:styleId="LetteredList">
    <w:name w:val="Lettered List"/>
    <w:basedOn w:val="BodyText"/>
    <w:link w:val="LetteredListChar"/>
    <w:rsid w:val="003E6FC2"/>
    <w:pPr>
      <w:numPr>
        <w:numId w:val="17"/>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A13454"/>
    <w:pPr>
      <w:numPr>
        <w:numId w:val="22"/>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70804761">
      <w:bodyDiv w:val="1"/>
      <w:marLeft w:val="0"/>
      <w:marRight w:val="0"/>
      <w:marTop w:val="0"/>
      <w:marBottom w:val="0"/>
      <w:divBdr>
        <w:top w:val="none" w:sz="0" w:space="0" w:color="auto"/>
        <w:left w:val="none" w:sz="0" w:space="0" w:color="auto"/>
        <w:bottom w:val="none" w:sz="0" w:space="0" w:color="auto"/>
        <w:right w:val="none" w:sz="0" w:space="0" w:color="auto"/>
      </w:divBdr>
      <w:divsChild>
        <w:div w:id="545458056">
          <w:marLeft w:val="0"/>
          <w:marRight w:val="0"/>
          <w:marTop w:val="0"/>
          <w:marBottom w:val="0"/>
          <w:divBdr>
            <w:top w:val="none" w:sz="0" w:space="0" w:color="auto"/>
            <w:left w:val="none" w:sz="0" w:space="0" w:color="auto"/>
            <w:bottom w:val="none" w:sz="0" w:space="0" w:color="auto"/>
            <w:right w:val="none" w:sz="0" w:space="0" w:color="auto"/>
          </w:divBdr>
          <w:divsChild>
            <w:div w:id="1516773295">
              <w:marLeft w:val="0"/>
              <w:marRight w:val="0"/>
              <w:marTop w:val="0"/>
              <w:marBottom w:val="0"/>
              <w:divBdr>
                <w:top w:val="none" w:sz="0" w:space="0" w:color="auto"/>
                <w:left w:val="none" w:sz="0" w:space="0" w:color="auto"/>
                <w:bottom w:val="none" w:sz="0" w:space="0" w:color="auto"/>
                <w:right w:val="none" w:sz="0" w:space="0" w:color="auto"/>
              </w:divBdr>
            </w:div>
            <w:div w:id="21907337">
              <w:marLeft w:val="0"/>
              <w:marRight w:val="0"/>
              <w:marTop w:val="0"/>
              <w:marBottom w:val="0"/>
              <w:divBdr>
                <w:top w:val="none" w:sz="0" w:space="0" w:color="auto"/>
                <w:left w:val="none" w:sz="0" w:space="0" w:color="auto"/>
                <w:bottom w:val="none" w:sz="0" w:space="0" w:color="auto"/>
                <w:right w:val="none" w:sz="0" w:space="0" w:color="auto"/>
              </w:divBdr>
            </w:div>
            <w:div w:id="1929345492">
              <w:marLeft w:val="0"/>
              <w:marRight w:val="0"/>
              <w:marTop w:val="0"/>
              <w:marBottom w:val="0"/>
              <w:divBdr>
                <w:top w:val="none" w:sz="0" w:space="0" w:color="auto"/>
                <w:left w:val="none" w:sz="0" w:space="0" w:color="auto"/>
                <w:bottom w:val="none" w:sz="0" w:space="0" w:color="auto"/>
                <w:right w:val="none" w:sz="0" w:space="0" w:color="auto"/>
              </w:divBdr>
            </w:div>
            <w:div w:id="1742170545">
              <w:marLeft w:val="0"/>
              <w:marRight w:val="0"/>
              <w:marTop w:val="0"/>
              <w:marBottom w:val="0"/>
              <w:divBdr>
                <w:top w:val="none" w:sz="0" w:space="0" w:color="auto"/>
                <w:left w:val="none" w:sz="0" w:space="0" w:color="auto"/>
                <w:bottom w:val="none" w:sz="0" w:space="0" w:color="auto"/>
                <w:right w:val="none" w:sz="0" w:space="0" w:color="auto"/>
              </w:divBdr>
            </w:div>
            <w:div w:id="1611862944">
              <w:marLeft w:val="0"/>
              <w:marRight w:val="0"/>
              <w:marTop w:val="0"/>
              <w:marBottom w:val="0"/>
              <w:divBdr>
                <w:top w:val="none" w:sz="0" w:space="0" w:color="auto"/>
                <w:left w:val="none" w:sz="0" w:space="0" w:color="auto"/>
                <w:bottom w:val="none" w:sz="0" w:space="0" w:color="auto"/>
                <w:right w:val="none" w:sz="0" w:space="0" w:color="auto"/>
              </w:divBdr>
            </w:div>
            <w:div w:id="1751152390">
              <w:marLeft w:val="0"/>
              <w:marRight w:val="0"/>
              <w:marTop w:val="0"/>
              <w:marBottom w:val="0"/>
              <w:divBdr>
                <w:top w:val="none" w:sz="0" w:space="0" w:color="auto"/>
                <w:left w:val="none" w:sz="0" w:space="0" w:color="auto"/>
                <w:bottom w:val="none" w:sz="0" w:space="0" w:color="auto"/>
                <w:right w:val="none" w:sz="0" w:space="0" w:color="auto"/>
              </w:divBdr>
            </w:div>
            <w:div w:id="1396078622">
              <w:marLeft w:val="0"/>
              <w:marRight w:val="0"/>
              <w:marTop w:val="0"/>
              <w:marBottom w:val="0"/>
              <w:divBdr>
                <w:top w:val="none" w:sz="0" w:space="0" w:color="auto"/>
                <w:left w:val="none" w:sz="0" w:space="0" w:color="auto"/>
                <w:bottom w:val="none" w:sz="0" w:space="0" w:color="auto"/>
                <w:right w:val="none" w:sz="0" w:space="0" w:color="auto"/>
              </w:divBdr>
            </w:div>
            <w:div w:id="894245116">
              <w:marLeft w:val="0"/>
              <w:marRight w:val="0"/>
              <w:marTop w:val="0"/>
              <w:marBottom w:val="0"/>
              <w:divBdr>
                <w:top w:val="none" w:sz="0" w:space="0" w:color="auto"/>
                <w:left w:val="none" w:sz="0" w:space="0" w:color="auto"/>
                <w:bottom w:val="none" w:sz="0" w:space="0" w:color="auto"/>
                <w:right w:val="none" w:sz="0" w:space="0" w:color="auto"/>
              </w:divBdr>
            </w:div>
            <w:div w:id="405957708">
              <w:marLeft w:val="0"/>
              <w:marRight w:val="0"/>
              <w:marTop w:val="0"/>
              <w:marBottom w:val="0"/>
              <w:divBdr>
                <w:top w:val="none" w:sz="0" w:space="0" w:color="auto"/>
                <w:left w:val="none" w:sz="0" w:space="0" w:color="auto"/>
                <w:bottom w:val="none" w:sz="0" w:space="0" w:color="auto"/>
                <w:right w:val="none" w:sz="0" w:space="0" w:color="auto"/>
              </w:divBdr>
            </w:div>
            <w:div w:id="1362054549">
              <w:marLeft w:val="0"/>
              <w:marRight w:val="0"/>
              <w:marTop w:val="0"/>
              <w:marBottom w:val="0"/>
              <w:divBdr>
                <w:top w:val="none" w:sz="0" w:space="0" w:color="auto"/>
                <w:left w:val="none" w:sz="0" w:space="0" w:color="auto"/>
                <w:bottom w:val="none" w:sz="0" w:space="0" w:color="auto"/>
                <w:right w:val="none" w:sz="0" w:space="0" w:color="auto"/>
              </w:divBdr>
            </w:div>
            <w:div w:id="1599024636">
              <w:marLeft w:val="0"/>
              <w:marRight w:val="0"/>
              <w:marTop w:val="0"/>
              <w:marBottom w:val="0"/>
              <w:divBdr>
                <w:top w:val="none" w:sz="0" w:space="0" w:color="auto"/>
                <w:left w:val="none" w:sz="0" w:space="0" w:color="auto"/>
                <w:bottom w:val="none" w:sz="0" w:space="0" w:color="auto"/>
                <w:right w:val="none" w:sz="0" w:space="0" w:color="auto"/>
              </w:divBdr>
            </w:div>
          </w:divsChild>
        </w:div>
        <w:div w:id="2073382124">
          <w:marLeft w:val="0"/>
          <w:marRight w:val="0"/>
          <w:marTop w:val="0"/>
          <w:marBottom w:val="0"/>
          <w:divBdr>
            <w:top w:val="none" w:sz="0" w:space="0" w:color="auto"/>
            <w:left w:val="none" w:sz="0" w:space="0" w:color="auto"/>
            <w:bottom w:val="none" w:sz="0" w:space="0" w:color="auto"/>
            <w:right w:val="none" w:sz="0" w:space="0" w:color="auto"/>
          </w:divBdr>
        </w:div>
        <w:div w:id="130364124">
          <w:marLeft w:val="0"/>
          <w:marRight w:val="0"/>
          <w:marTop w:val="0"/>
          <w:marBottom w:val="0"/>
          <w:divBdr>
            <w:top w:val="none" w:sz="0" w:space="0" w:color="auto"/>
            <w:left w:val="none" w:sz="0" w:space="0" w:color="auto"/>
            <w:bottom w:val="none" w:sz="0" w:space="0" w:color="auto"/>
            <w:right w:val="none" w:sz="0" w:space="0" w:color="auto"/>
          </w:divBdr>
        </w:div>
        <w:div w:id="1057316968">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599947362">
      <w:bodyDiv w:val="1"/>
      <w:marLeft w:val="0"/>
      <w:marRight w:val="0"/>
      <w:marTop w:val="0"/>
      <w:marBottom w:val="0"/>
      <w:divBdr>
        <w:top w:val="none" w:sz="0" w:space="0" w:color="auto"/>
        <w:left w:val="none" w:sz="0" w:space="0" w:color="auto"/>
        <w:bottom w:val="none" w:sz="0" w:space="0" w:color="auto"/>
        <w:right w:val="none" w:sz="0" w:space="0" w:color="auto"/>
      </w:divBdr>
      <w:divsChild>
        <w:div w:id="609553074">
          <w:marLeft w:val="0"/>
          <w:marRight w:val="0"/>
          <w:marTop w:val="0"/>
          <w:marBottom w:val="0"/>
          <w:divBdr>
            <w:top w:val="none" w:sz="0" w:space="0" w:color="auto"/>
            <w:left w:val="none" w:sz="0" w:space="0" w:color="auto"/>
            <w:bottom w:val="none" w:sz="0" w:space="0" w:color="auto"/>
            <w:right w:val="none" w:sz="0" w:space="0" w:color="auto"/>
          </w:divBdr>
        </w:div>
        <w:div w:id="1618754694">
          <w:marLeft w:val="0"/>
          <w:marRight w:val="0"/>
          <w:marTop w:val="0"/>
          <w:marBottom w:val="0"/>
          <w:divBdr>
            <w:top w:val="none" w:sz="0" w:space="0" w:color="auto"/>
            <w:left w:val="none" w:sz="0" w:space="0" w:color="auto"/>
            <w:bottom w:val="none" w:sz="0" w:space="0" w:color="auto"/>
            <w:right w:val="none" w:sz="0" w:space="0" w:color="auto"/>
          </w:divBdr>
        </w:div>
        <w:div w:id="2131437806">
          <w:marLeft w:val="0"/>
          <w:marRight w:val="0"/>
          <w:marTop w:val="0"/>
          <w:marBottom w:val="0"/>
          <w:divBdr>
            <w:top w:val="none" w:sz="0" w:space="0" w:color="auto"/>
            <w:left w:val="none" w:sz="0" w:space="0" w:color="auto"/>
            <w:bottom w:val="none" w:sz="0" w:space="0" w:color="auto"/>
            <w:right w:val="none" w:sz="0" w:space="0" w:color="auto"/>
          </w:divBdr>
        </w:div>
        <w:div w:id="1398742156">
          <w:marLeft w:val="0"/>
          <w:marRight w:val="0"/>
          <w:marTop w:val="0"/>
          <w:marBottom w:val="0"/>
          <w:divBdr>
            <w:top w:val="none" w:sz="0" w:space="0" w:color="auto"/>
            <w:left w:val="none" w:sz="0" w:space="0" w:color="auto"/>
            <w:bottom w:val="none" w:sz="0" w:space="0" w:color="auto"/>
            <w:right w:val="none" w:sz="0" w:space="0" w:color="auto"/>
          </w:divBdr>
        </w:div>
        <w:div w:id="626277466">
          <w:marLeft w:val="0"/>
          <w:marRight w:val="0"/>
          <w:marTop w:val="0"/>
          <w:marBottom w:val="0"/>
          <w:divBdr>
            <w:top w:val="none" w:sz="0" w:space="0" w:color="auto"/>
            <w:left w:val="none" w:sz="0" w:space="0" w:color="auto"/>
            <w:bottom w:val="none" w:sz="0" w:space="0" w:color="auto"/>
            <w:right w:val="none" w:sz="0" w:space="0" w:color="auto"/>
          </w:divBdr>
        </w:div>
        <w:div w:id="1650556172">
          <w:marLeft w:val="0"/>
          <w:marRight w:val="0"/>
          <w:marTop w:val="0"/>
          <w:marBottom w:val="0"/>
          <w:divBdr>
            <w:top w:val="none" w:sz="0" w:space="0" w:color="auto"/>
            <w:left w:val="none" w:sz="0" w:space="0" w:color="auto"/>
            <w:bottom w:val="none" w:sz="0" w:space="0" w:color="auto"/>
            <w:right w:val="none" w:sz="0" w:space="0" w:color="auto"/>
          </w:divBdr>
        </w:div>
        <w:div w:id="119492540">
          <w:marLeft w:val="0"/>
          <w:marRight w:val="0"/>
          <w:marTop w:val="0"/>
          <w:marBottom w:val="0"/>
          <w:divBdr>
            <w:top w:val="none" w:sz="0" w:space="0" w:color="auto"/>
            <w:left w:val="none" w:sz="0" w:space="0" w:color="auto"/>
            <w:bottom w:val="none" w:sz="0" w:space="0" w:color="auto"/>
            <w:right w:val="none" w:sz="0" w:space="0" w:color="auto"/>
          </w:divBdr>
        </w:div>
        <w:div w:id="735511925">
          <w:marLeft w:val="0"/>
          <w:marRight w:val="0"/>
          <w:marTop w:val="0"/>
          <w:marBottom w:val="0"/>
          <w:divBdr>
            <w:top w:val="none" w:sz="0" w:space="0" w:color="auto"/>
            <w:left w:val="none" w:sz="0" w:space="0" w:color="auto"/>
            <w:bottom w:val="none" w:sz="0" w:space="0" w:color="auto"/>
            <w:right w:val="none" w:sz="0" w:space="0" w:color="auto"/>
          </w:divBdr>
        </w:div>
        <w:div w:id="1659730906">
          <w:marLeft w:val="0"/>
          <w:marRight w:val="0"/>
          <w:marTop w:val="0"/>
          <w:marBottom w:val="0"/>
          <w:divBdr>
            <w:top w:val="none" w:sz="0" w:space="0" w:color="auto"/>
            <w:left w:val="none" w:sz="0" w:space="0" w:color="auto"/>
            <w:bottom w:val="none" w:sz="0" w:space="0" w:color="auto"/>
            <w:right w:val="none" w:sz="0" w:space="0" w:color="auto"/>
          </w:divBdr>
        </w:div>
        <w:div w:id="1961569969">
          <w:marLeft w:val="0"/>
          <w:marRight w:val="0"/>
          <w:marTop w:val="0"/>
          <w:marBottom w:val="0"/>
          <w:divBdr>
            <w:top w:val="none" w:sz="0" w:space="0" w:color="auto"/>
            <w:left w:val="none" w:sz="0" w:space="0" w:color="auto"/>
            <w:bottom w:val="none" w:sz="0" w:space="0" w:color="auto"/>
            <w:right w:val="none" w:sz="0" w:space="0" w:color="auto"/>
          </w:divBdr>
        </w:div>
        <w:div w:id="1777598833">
          <w:marLeft w:val="0"/>
          <w:marRight w:val="0"/>
          <w:marTop w:val="0"/>
          <w:marBottom w:val="0"/>
          <w:divBdr>
            <w:top w:val="none" w:sz="0" w:space="0" w:color="auto"/>
            <w:left w:val="none" w:sz="0" w:space="0" w:color="auto"/>
            <w:bottom w:val="none" w:sz="0" w:space="0" w:color="auto"/>
            <w:right w:val="none" w:sz="0" w:space="0" w:color="auto"/>
          </w:divBdr>
        </w:div>
        <w:div w:id="1283999426">
          <w:marLeft w:val="0"/>
          <w:marRight w:val="0"/>
          <w:marTop w:val="0"/>
          <w:marBottom w:val="0"/>
          <w:divBdr>
            <w:top w:val="none" w:sz="0" w:space="0" w:color="auto"/>
            <w:left w:val="none" w:sz="0" w:space="0" w:color="auto"/>
            <w:bottom w:val="none" w:sz="0" w:space="0" w:color="auto"/>
            <w:right w:val="none" w:sz="0" w:space="0" w:color="auto"/>
          </w:divBdr>
        </w:div>
        <w:div w:id="1713076156">
          <w:marLeft w:val="0"/>
          <w:marRight w:val="0"/>
          <w:marTop w:val="0"/>
          <w:marBottom w:val="0"/>
          <w:divBdr>
            <w:top w:val="none" w:sz="0" w:space="0" w:color="auto"/>
            <w:left w:val="none" w:sz="0" w:space="0" w:color="auto"/>
            <w:bottom w:val="none" w:sz="0" w:space="0" w:color="auto"/>
            <w:right w:val="none" w:sz="0" w:space="0" w:color="auto"/>
          </w:divBdr>
        </w:div>
        <w:div w:id="2041511954">
          <w:marLeft w:val="0"/>
          <w:marRight w:val="0"/>
          <w:marTop w:val="0"/>
          <w:marBottom w:val="0"/>
          <w:divBdr>
            <w:top w:val="none" w:sz="0" w:space="0" w:color="auto"/>
            <w:left w:val="none" w:sz="0" w:space="0" w:color="auto"/>
            <w:bottom w:val="none" w:sz="0" w:space="0" w:color="auto"/>
            <w:right w:val="none" w:sz="0" w:space="0" w:color="auto"/>
          </w:divBdr>
        </w:div>
        <w:div w:id="229851177">
          <w:marLeft w:val="0"/>
          <w:marRight w:val="0"/>
          <w:marTop w:val="0"/>
          <w:marBottom w:val="0"/>
          <w:divBdr>
            <w:top w:val="none" w:sz="0" w:space="0" w:color="auto"/>
            <w:left w:val="none" w:sz="0" w:space="0" w:color="auto"/>
            <w:bottom w:val="none" w:sz="0" w:space="0" w:color="auto"/>
            <w:right w:val="none" w:sz="0" w:space="0" w:color="auto"/>
          </w:divBdr>
        </w:div>
        <w:div w:id="783233941">
          <w:marLeft w:val="0"/>
          <w:marRight w:val="0"/>
          <w:marTop w:val="0"/>
          <w:marBottom w:val="0"/>
          <w:divBdr>
            <w:top w:val="none" w:sz="0" w:space="0" w:color="auto"/>
            <w:left w:val="none" w:sz="0" w:space="0" w:color="auto"/>
            <w:bottom w:val="none" w:sz="0" w:space="0" w:color="auto"/>
            <w:right w:val="none" w:sz="0" w:space="0" w:color="auto"/>
          </w:divBdr>
        </w:div>
        <w:div w:id="1791437944">
          <w:marLeft w:val="0"/>
          <w:marRight w:val="0"/>
          <w:marTop w:val="0"/>
          <w:marBottom w:val="0"/>
          <w:divBdr>
            <w:top w:val="none" w:sz="0" w:space="0" w:color="auto"/>
            <w:left w:val="none" w:sz="0" w:space="0" w:color="auto"/>
            <w:bottom w:val="none" w:sz="0" w:space="0" w:color="auto"/>
            <w:right w:val="none" w:sz="0" w:space="0" w:color="auto"/>
          </w:divBdr>
        </w:div>
        <w:div w:id="609319572">
          <w:marLeft w:val="0"/>
          <w:marRight w:val="0"/>
          <w:marTop w:val="0"/>
          <w:marBottom w:val="0"/>
          <w:divBdr>
            <w:top w:val="none" w:sz="0" w:space="0" w:color="auto"/>
            <w:left w:val="none" w:sz="0" w:space="0" w:color="auto"/>
            <w:bottom w:val="none" w:sz="0" w:space="0" w:color="auto"/>
            <w:right w:val="none" w:sz="0" w:space="0" w:color="auto"/>
          </w:divBdr>
        </w:div>
      </w:divsChild>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54882254">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04501762">
      <w:bodyDiv w:val="1"/>
      <w:marLeft w:val="0"/>
      <w:marRight w:val="0"/>
      <w:marTop w:val="0"/>
      <w:marBottom w:val="0"/>
      <w:divBdr>
        <w:top w:val="none" w:sz="0" w:space="0" w:color="auto"/>
        <w:left w:val="none" w:sz="0" w:space="0" w:color="auto"/>
        <w:bottom w:val="none" w:sz="0" w:space="0" w:color="auto"/>
        <w:right w:val="none" w:sz="0" w:space="0" w:color="auto"/>
      </w:divBdr>
      <w:divsChild>
        <w:div w:id="672224986">
          <w:marLeft w:val="0"/>
          <w:marRight w:val="0"/>
          <w:marTop w:val="0"/>
          <w:marBottom w:val="0"/>
          <w:divBdr>
            <w:top w:val="none" w:sz="0" w:space="0" w:color="auto"/>
            <w:left w:val="none" w:sz="0" w:space="0" w:color="auto"/>
            <w:bottom w:val="none" w:sz="0" w:space="0" w:color="auto"/>
            <w:right w:val="none" w:sz="0" w:space="0" w:color="auto"/>
          </w:divBdr>
          <w:divsChild>
            <w:div w:id="1586106445">
              <w:marLeft w:val="0"/>
              <w:marRight w:val="0"/>
              <w:marTop w:val="0"/>
              <w:marBottom w:val="0"/>
              <w:divBdr>
                <w:top w:val="none" w:sz="0" w:space="0" w:color="auto"/>
                <w:left w:val="none" w:sz="0" w:space="0" w:color="auto"/>
                <w:bottom w:val="none" w:sz="0" w:space="0" w:color="auto"/>
                <w:right w:val="none" w:sz="0" w:space="0" w:color="auto"/>
              </w:divBdr>
            </w:div>
            <w:div w:id="1765035845">
              <w:marLeft w:val="0"/>
              <w:marRight w:val="0"/>
              <w:marTop w:val="0"/>
              <w:marBottom w:val="0"/>
              <w:divBdr>
                <w:top w:val="none" w:sz="0" w:space="0" w:color="auto"/>
                <w:left w:val="none" w:sz="0" w:space="0" w:color="auto"/>
                <w:bottom w:val="none" w:sz="0" w:space="0" w:color="auto"/>
                <w:right w:val="none" w:sz="0" w:space="0" w:color="auto"/>
              </w:divBdr>
            </w:div>
            <w:div w:id="1920555450">
              <w:marLeft w:val="0"/>
              <w:marRight w:val="0"/>
              <w:marTop w:val="0"/>
              <w:marBottom w:val="0"/>
              <w:divBdr>
                <w:top w:val="none" w:sz="0" w:space="0" w:color="auto"/>
                <w:left w:val="none" w:sz="0" w:space="0" w:color="auto"/>
                <w:bottom w:val="none" w:sz="0" w:space="0" w:color="auto"/>
                <w:right w:val="none" w:sz="0" w:space="0" w:color="auto"/>
              </w:divBdr>
            </w:div>
            <w:div w:id="1485854665">
              <w:marLeft w:val="0"/>
              <w:marRight w:val="0"/>
              <w:marTop w:val="0"/>
              <w:marBottom w:val="0"/>
              <w:divBdr>
                <w:top w:val="none" w:sz="0" w:space="0" w:color="auto"/>
                <w:left w:val="none" w:sz="0" w:space="0" w:color="auto"/>
                <w:bottom w:val="none" w:sz="0" w:space="0" w:color="auto"/>
                <w:right w:val="none" w:sz="0" w:space="0" w:color="auto"/>
              </w:divBdr>
            </w:div>
            <w:div w:id="19361979">
              <w:marLeft w:val="0"/>
              <w:marRight w:val="0"/>
              <w:marTop w:val="0"/>
              <w:marBottom w:val="0"/>
              <w:divBdr>
                <w:top w:val="none" w:sz="0" w:space="0" w:color="auto"/>
                <w:left w:val="none" w:sz="0" w:space="0" w:color="auto"/>
                <w:bottom w:val="none" w:sz="0" w:space="0" w:color="auto"/>
                <w:right w:val="none" w:sz="0" w:space="0" w:color="auto"/>
              </w:divBdr>
            </w:div>
            <w:div w:id="1808887881">
              <w:marLeft w:val="0"/>
              <w:marRight w:val="0"/>
              <w:marTop w:val="0"/>
              <w:marBottom w:val="0"/>
              <w:divBdr>
                <w:top w:val="none" w:sz="0" w:space="0" w:color="auto"/>
                <w:left w:val="none" w:sz="0" w:space="0" w:color="auto"/>
                <w:bottom w:val="none" w:sz="0" w:space="0" w:color="auto"/>
                <w:right w:val="none" w:sz="0" w:space="0" w:color="auto"/>
              </w:divBdr>
            </w:div>
            <w:div w:id="1506171499">
              <w:marLeft w:val="0"/>
              <w:marRight w:val="0"/>
              <w:marTop w:val="0"/>
              <w:marBottom w:val="0"/>
              <w:divBdr>
                <w:top w:val="none" w:sz="0" w:space="0" w:color="auto"/>
                <w:left w:val="none" w:sz="0" w:space="0" w:color="auto"/>
                <w:bottom w:val="none" w:sz="0" w:space="0" w:color="auto"/>
                <w:right w:val="none" w:sz="0" w:space="0" w:color="auto"/>
              </w:divBdr>
            </w:div>
            <w:div w:id="1704207356">
              <w:marLeft w:val="0"/>
              <w:marRight w:val="0"/>
              <w:marTop w:val="0"/>
              <w:marBottom w:val="0"/>
              <w:divBdr>
                <w:top w:val="none" w:sz="0" w:space="0" w:color="auto"/>
                <w:left w:val="none" w:sz="0" w:space="0" w:color="auto"/>
                <w:bottom w:val="none" w:sz="0" w:space="0" w:color="auto"/>
                <w:right w:val="none" w:sz="0" w:space="0" w:color="auto"/>
              </w:divBdr>
            </w:div>
            <w:div w:id="395472947">
              <w:marLeft w:val="0"/>
              <w:marRight w:val="0"/>
              <w:marTop w:val="0"/>
              <w:marBottom w:val="0"/>
              <w:divBdr>
                <w:top w:val="none" w:sz="0" w:space="0" w:color="auto"/>
                <w:left w:val="none" w:sz="0" w:space="0" w:color="auto"/>
                <w:bottom w:val="none" w:sz="0" w:space="0" w:color="auto"/>
                <w:right w:val="none" w:sz="0" w:space="0" w:color="auto"/>
              </w:divBdr>
            </w:div>
            <w:div w:id="194584764">
              <w:marLeft w:val="0"/>
              <w:marRight w:val="0"/>
              <w:marTop w:val="0"/>
              <w:marBottom w:val="0"/>
              <w:divBdr>
                <w:top w:val="none" w:sz="0" w:space="0" w:color="auto"/>
                <w:left w:val="none" w:sz="0" w:space="0" w:color="auto"/>
                <w:bottom w:val="none" w:sz="0" w:space="0" w:color="auto"/>
                <w:right w:val="none" w:sz="0" w:space="0" w:color="auto"/>
              </w:divBdr>
            </w:div>
            <w:div w:id="1440838448">
              <w:marLeft w:val="0"/>
              <w:marRight w:val="0"/>
              <w:marTop w:val="0"/>
              <w:marBottom w:val="0"/>
              <w:divBdr>
                <w:top w:val="none" w:sz="0" w:space="0" w:color="auto"/>
                <w:left w:val="none" w:sz="0" w:space="0" w:color="auto"/>
                <w:bottom w:val="none" w:sz="0" w:space="0" w:color="auto"/>
                <w:right w:val="none" w:sz="0" w:space="0" w:color="auto"/>
              </w:divBdr>
            </w:div>
          </w:divsChild>
        </w:div>
        <w:div w:id="175315186">
          <w:marLeft w:val="0"/>
          <w:marRight w:val="0"/>
          <w:marTop w:val="0"/>
          <w:marBottom w:val="0"/>
          <w:divBdr>
            <w:top w:val="none" w:sz="0" w:space="0" w:color="auto"/>
            <w:left w:val="none" w:sz="0" w:space="0" w:color="auto"/>
            <w:bottom w:val="none" w:sz="0" w:space="0" w:color="auto"/>
            <w:right w:val="none" w:sz="0" w:space="0" w:color="auto"/>
          </w:divBdr>
        </w:div>
        <w:div w:id="328869018">
          <w:marLeft w:val="0"/>
          <w:marRight w:val="0"/>
          <w:marTop w:val="0"/>
          <w:marBottom w:val="0"/>
          <w:divBdr>
            <w:top w:val="none" w:sz="0" w:space="0" w:color="auto"/>
            <w:left w:val="none" w:sz="0" w:space="0" w:color="auto"/>
            <w:bottom w:val="none" w:sz="0" w:space="0" w:color="auto"/>
            <w:right w:val="none" w:sz="0" w:space="0" w:color="auto"/>
          </w:divBdr>
        </w:div>
        <w:div w:id="746072783">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DBB78-2F4D-47F0-AFAD-231AA631D354}"/>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Leuprolide SGM 1989-A 1990-A 2117-A</vt:lpstr>
    </vt:vector>
  </TitlesOfParts>
  <Company>CVS Caremark</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Leuprolide SGM 1989-A 1990-A 2117-A</dc:title>
  <dc:subject>Leuprolide SGM 1989-A 1990-A 2117-A</dc:subject>
  <dc:creator>CVS Caremark</dc:creator>
  <cp:keywords/>
  <cp:lastModifiedBy>Reynoso, Victor H</cp:lastModifiedBy>
  <cp:revision>6</cp:revision>
  <cp:lastPrinted>2018-01-09T05:01:00Z</cp:lastPrinted>
  <dcterms:created xsi:type="dcterms:W3CDTF">2025-04-09T18:52:00Z</dcterms:created>
  <dcterms:modified xsi:type="dcterms:W3CDTF">2025-04-09T18:55:00Z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103700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